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0241" w:rsidRDefault="00950241">
      <w:pPr>
        <w:rPr>
          <w:rtl/>
        </w:rPr>
      </w:pPr>
    </w:p>
    <w:p w:rsidR="009502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411" inset="0,0,0,0">
              <w:txbxContent>
                <w:p w:rsidR="003155F3" w:rsidRDefault="003155F3">
                  <w:r>
                    <w:rPr>
                      <w:rtl/>
                    </w:rPr>
                    <w:t>37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12" o:spid="_x0000_s1026" type="#_x0000_t202" style="position:absolute;left:0;text-align:left;margin-left:149.8pt;margin-top:642.05pt;width:397.6pt;height:95.65pt;z-index:3;mso-position-horizontal-relative:page;mso-position-vertical-relative:page" stroked="f">
            <v:textbox style="mso-next-textbox:#_x0000_s22412" inset="0,0,0,0">
              <w:txbxContent>
                <w:p w:rsidR="003155F3" w:rsidRDefault="003155F3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חוק זה וחוק המהנדסים והאדריכלים (תיקון מס' 3), תשל"ז~1976, נתקבלו בכנסת ביום כ"ט בכסלו תשל"ז (21</w:t>
                  </w:r>
                </w:p>
                <w:p w:rsidR="003155F3" w:rsidRDefault="003155F3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בדצמבר 1976) בעקבות הגעת חוק התכנון והבניה (תיקון מס' 10), תשל"ז-1976, ובמקומה; הצעת החוק האמורה</w:t>
                  </w:r>
                </w:p>
                <w:p w:rsidR="003155F3" w:rsidRDefault="003155F3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ודברי הסבר פורסמו בחיה 1262, תשל"ז, עמ' 16.</w:t>
                  </w:r>
                </w:p>
                <w:p w:rsidR="003155F3" w:rsidRDefault="003155F3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218; תשל"ב, עמ' 54; תשל''ג, עמ' 59; תשל"ח, עמ' 82.</w:t>
                  </w:r>
                </w:p>
                <w:p w:rsidR="003155F3" w:rsidRPr="00950241" w:rsidRDefault="003155F3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13" o:spid="_x0000_s1027" type="#_x0000_t202" style="position:absolute;left:0;text-align:left;margin-left:93.55pt;margin-top:99.95pt;width:451.45pt;height:539.75pt;z-index:2;mso-position-horizontal-relative:page;mso-position-vertical-relative:page" stroked="f">
            <v:textbox style="mso-next-textbox:#_x0000_s2241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7161"/>
                  </w:tblGrid>
                  <w:tr w:rsidR="003155F3" w:rsidRPr="00950241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3155F3" w:rsidRPr="00950241" w:rsidRDefault="003155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3155F3" w:rsidRDefault="003155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 (ב) לחוק רישו</w:t>
                        </w:r>
                        <w:r>
                          <w:rPr>
                            <w:sz w:val="18"/>
                            <w:szCs w:val="18"/>
                          </w:rPr>
                          <w:t>O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 קבלנים לעבודות הנדסה בגאיות, תשכ"ט-1969  1(להלן -</w:t>
                        </w:r>
                      </w:p>
                      <w:p w:rsidR="003155F3" w:rsidRPr="00950241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"לפי סעיף קטן (א)" יבוא "או לפי סעיף 8א".</w:t>
                        </w:r>
                      </w:p>
                    </w:tc>
                  </w:tr>
                  <w:tr w:rsidR="003155F3" w:rsidRPr="00950241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3155F3" w:rsidRPr="00950241" w:rsidRDefault="003155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3155F3" w:rsidRDefault="003155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בסעיף 8 (א) לחוק העיקרי -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"ואם נרשמו יבוטל רישומם" יבוא "בכפוף לאמור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8א";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בסופה יבוא "ותאגיד הנמצא בפירוק, למעט פירוק מרצון";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אחרי "כדי לערער מהימנותו להיות קבלן רשום" יבוא "או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אחרת לפי פרק י' לחוק התכנון והבניה, תשכ"ה-21965, שקבע לענין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השר באישור ועדת הכלכלה של הכנסת";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(3) יבוא: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תאגיד שמנהל ממנהליו הוא קבלן שרישומו בפנקס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 לפי סעיף זה, זולת אם אותו מנהל פרש מתפקידו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כמנהל תוך שלושה חדשים מיום ביטול הרישום;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תאגיד שמנהל ממנהליו הורשע כפסק דין סופי בעבירה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(2) אף אם המנהל עצמו לא היה רשום פנקס,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אותו מנהל פרש מתפקידו כמנהל תוך שלושה חדשים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ההרשעה;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מנהלו של תאגיד שרישומו בוטל לפי פסקאות (2),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(3), (4) או (5);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מנהלו של תאגיד אם התאגיד הורשע בעבירה כאמור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אף אם התאגיד עצמו לא היה רשום בפנקס."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8 (ב) לחוק העיקרי יבוא: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בהליכים נגד מנהל תאגיד מכוח סעיף קטן (א) (6) או (7).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בהליכים לפי סעיף 8א באותן העילות, יהא בזה משום הגנה טובה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המנהל שלא ידע על מעשה התאגיד שבגללו בוטל רישומו של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או על העבירה שבגללה הורשע התאגיד, או שנקט אמצעים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למניעת הביצוע של מעשה או עבירה כאמור בידי התאגיד.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"תאגיד" - לרבות שותפות;</w:t>
                        </w:r>
                      </w:p>
                      <w:p w:rsidR="003155F3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תאגיד" - חבר הגוף המנהל בפועל את עסקיו, ובשו-</w:t>
                        </w:r>
                      </w:p>
                      <w:p w:rsidR="003155F3" w:rsidRPr="00950241" w:rsidRDefault="003155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תפות - כל שותף למעט שותף מוגבל."</w:t>
                        </w:r>
                      </w:p>
                    </w:tc>
                  </w:tr>
                </w:tbl>
                <w:p w:rsidR="003155F3" w:rsidRDefault="003155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14" o:spid="_x0000_s1028" type="#_x0000_t202" style="position:absolute;left:0;text-align:left;margin-left:150.6pt;margin-top:67.05pt;width:390.25pt;height:31.3pt;z-index:1;mso-position-horizontal-relative:page;mso-position-vertical-relative:page" stroked="f">
            <v:textbox style="mso-next-textbox:#_x0000_s22414" inset="0,0,0,0">
              <w:txbxContent>
                <w:p w:rsidR="003155F3" w:rsidRPr="00950241" w:rsidRDefault="003155F3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רישום קבלנים לעבודות הנדסה בנאיות(תיקון מס'4),תשל"ז-1976*</w:t>
                  </w:r>
                </w:p>
              </w:txbxContent>
            </v:textbox>
            <w10:wrap anchorx="page" anchory="page"/>
          </v:shape>
        </w:pict>
      </w:r>
    </w:p>
    <w:p w:rsidR="00A27A9C" w:rsidRDefault="00A27A9C">
      <w:pPr>
        <w:rPr>
          <w:rtl/>
        </w:rPr>
      </w:pPr>
      <w:r>
        <w:rPr>
          <w:rtl/>
        </w:rPr>
        <w:br w:type="page"/>
      </w:r>
    </w:p>
    <w:p w:rsidR="00A27A9C" w:rsidRDefault="00000000">
      <w:pPr>
        <w:rPr>
          <w:rtl/>
        </w:rPr>
      </w:pPr>
      <w:r>
        <w:pict>
          <v:shape id="_x0000_s224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15" inset="0,0,0,0">
              <w:txbxContent>
                <w:p w:rsidR="003155F3" w:rsidRDefault="003155F3">
                  <w:r>
                    <w:rPr>
                      <w:rtl/>
                    </w:rPr>
                    <w:t>38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16" o:spid="_x0000_s1030" type="#_x0000_t202" style="position:absolute;left:0;text-align:left;margin-left:94.3pt;margin-top:717pt;width:169.9pt;height:19.8pt;z-index:6;mso-position-horizontal-relative:page;mso-position-vertical-relative:page" stroked="f">
            <v:textbox style="mso-next-textbox:#_x0000_s22416" inset="0,0,0,0">
              <w:txbxContent>
                <w:p w:rsidR="003155F3" w:rsidRDefault="003155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417" o:spid="_x0000_s1031" type="#_x0000_t202" style="position:absolute;left:0;text-align:left;margin-left:94.3pt;margin-top:66.2pt;width:459.55pt;height:642.7pt;z-index:5;mso-position-horizontal-relative:page;mso-position-vertical-relative:page" stroked="f">
            <v:textbox style="mso-next-textbox:#_x0000_s2241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2"/>
                    <w:gridCol w:w="1265"/>
                    <w:gridCol w:w="1338"/>
                  </w:tblGrid>
                  <w:tr w:rsidR="003155F3" w:rsidRPr="00A27A9C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8 לחוק 'העיקרי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3155F3" w:rsidRPr="00A27A9C" w:rsidRDefault="003155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3155F3" w:rsidRPr="00A27A9C">
                    <w:trPr>
                      <w:jc w:val="right"/>
                    </w:trPr>
                    <w:tc>
                      <w:tcPr>
                        <w:tcW w:w="3442" w:type="pct"/>
                      </w:tcPr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נתקיימו בקבלן רשום התנאים המפורטים באחת הפסקאות (2)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(7) -שבסעיף 8 (א), רשאי הרשם, אם ראה שדרגת החומרה שבמעשה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במחדל אינה מצדיקה את ביטול רישום הקבלן בפנקס, לנקוט נגדו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 מאמצעי משמעת אלה: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(1) התראה: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נזיפה: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קנס בשיעור שלא יעלה על הקבוע בתקנות;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(4) התליית תקפו של הרישום בפנקס לתקופה שיקבע.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הרשם על התליית תקפו של הרישום בפנקס, רשאי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לקבוע באותה החלטה שההתליה תהא על תנאי, בולה או מקצתה.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(ג). החליט הרשם על התליית תקפו של הרישום בפנקס על תנאי,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תבוצע ההתליה אלא אם נתקיים בקבלן, תוך התקופה שנקבעה בהח-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לטת הרשם ושלא תפחת משנה אחת ולא תעלה על שלוש שנים (להלן -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התנאי), תנאי המשמש עילה לנקיטת אמצעים לפי סעיף 8 (א) (2)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(7), ושנקבע בהחלטת הרשם, והרשם ביטל את רישומו של הקבלן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קיום התנאי או נקט נגדו אמצעים לפי סעיף זה (להלן - עבירה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).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התנאי תתחיל מיום שהודע לקבלן על החלטת הרשם,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הרשם הורה אחרת.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קביעת העבירות הנוספות יכול שתהא בציון סוג של עבירות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בפירוט עבירה מסויימת, אם דרך תיאורן ואם דרך איזכור הוראת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חוק; אוזכרה הוראת חוק והיא בוטלה לאחר מכן והוראה אחרת באה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במקומה, יראו את החלטת הרשם כמאזכרת את ההוראה האחרת.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 הרשם על התליה בשל עבירה נוספת, לא יורה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שההתליה תהא כולה על תנאי.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שנידון להתליה על תנאי ונמצא אשם בשל עבירה נוספת,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הרשם על ביצועה של ההתליה.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מצא הרשם את הקבלן אשם בעבירה נוספת ולא החליט בשל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עבירה על התליה, רשאי הוא, על אף האמור בסעיף קטן (ז) ובמקום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ביצועה של ההתליה, לצוות, מטעמים שיירשמו, על הארכת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התנאי לתקופה נוספת  שלא תעלה על שנתיים, אם שוכנע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שבנסיבות הענין לא יהא זה צודק לבצע את ההתליה.</w:t>
                        </w:r>
                      </w:p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לא ישתמש הרשם בסמכות לפי סעיף קטן (ח) אלא בהחלטתו</w:t>
                        </w:r>
                      </w:p>
                      <w:p w:rsidR="003155F3" w:rsidRPr="00A27A9C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שבה מצא את הקבלן אשם בעבירה נוספת."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3155F3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משמעת</w:t>
                        </w:r>
                      </w:p>
                      <w:p w:rsidR="003155F3" w:rsidRPr="00A27A9C" w:rsidRDefault="003155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801" w:type="pct"/>
                      </w:tcPr>
                      <w:p w:rsidR="003155F3" w:rsidRPr="00A27A9C" w:rsidRDefault="003155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</w:t>
                        </w:r>
                      </w:p>
                    </w:tc>
                  </w:tr>
                  <w:tr w:rsidR="003155F3" w:rsidRPr="00A27A9C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3155F3" w:rsidRPr="00A27A9C" w:rsidRDefault="003155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9 לחוק העיקרי, אחרי "סעיף 7" יבוא "או סעיף 8א".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3155F3" w:rsidRPr="00A27A9C" w:rsidRDefault="003155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3155F3" w:rsidRDefault="003155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55F3" w:rsidRDefault="003155F3">
      <w:pPr>
        <w:rPr>
          <w:rtl/>
        </w:rPr>
      </w:pPr>
      <w:r>
        <w:rPr>
          <w:rtl/>
        </w:rPr>
        <w:br w:type="page"/>
      </w:r>
    </w:p>
    <w:p w:rsidR="003155F3" w:rsidRDefault="00000000">
      <w:pPr>
        <w:rPr>
          <w:rtl/>
        </w:rPr>
      </w:pPr>
      <w:r>
        <w:pict>
          <v:shape id="_x0000_s2241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418" inset="0,0,0,0">
              <w:txbxContent>
                <w:p w:rsidR="003155F3" w:rsidRDefault="003155F3">
                  <w:r>
                    <w:rPr>
                      <w:rtl/>
                    </w:rPr>
                    <w:t>39                                           ספר החוקים 836                    ט' בטבת התשל"ז 30.12.1976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19" o:spid="_x0000_s1033" type="#_x0000_t202" style="position:absolute;left:0;text-align:left;margin-left:177.4pt;margin-top:209.4pt;width:87.7pt;height:32.25pt;z-index:11;mso-position-horizontal-relative:page;mso-position-vertical-relative:page" stroked="f">
            <v:textbox style="mso-next-textbox:#_x0000_s22419" inset="0,0,0,0">
              <w:txbxContent>
                <w:p w:rsidR="003155F3" w:rsidRDefault="003155F3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אברהם עופר</w:t>
                  </w:r>
                </w:p>
                <w:p w:rsidR="003155F3" w:rsidRDefault="003155F3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0" o:spid="_x0000_s1034" type="#_x0000_t202" style="position:absolute;left:0;text-align:left;margin-left:306.5pt;margin-top:207pt;width:82.15pt;height:35.45pt;z-index:10;mso-position-horizontal-relative:page;mso-position-vertical-relative:page" stroked="f">
            <v:textbox style="mso-next-textbox:#_x0000_s22420" inset="0,0,0,0">
              <w:txbxContent>
                <w:p w:rsidR="003155F3" w:rsidRDefault="003155F3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155F3" w:rsidRDefault="003155F3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1" o:spid="_x0000_s1035" type="#_x0000_t202" style="position:absolute;left:0;text-align:left;margin-left:449.05pt;margin-top:235.9pt;width:93.65pt;height:35.65pt;z-index:9;mso-position-horizontal-relative:page;mso-position-vertical-relative:page" stroked="f">
            <v:textbox style="mso-next-textbox:#_x0000_s22421" inset="0,0,0,0">
              <w:txbxContent>
                <w:p w:rsidR="003155F3" w:rsidRDefault="003155F3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155F3" w:rsidRDefault="003155F3">
                  <w:pPr>
                    <w:pStyle w:val="OCRStyle3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2" o:spid="_x0000_s1036" type="#_x0000_t202" style="position:absolute;left:0;text-align:left;margin-left:88.7pt;margin-top:75.15pt;width:454.8pt;height:128.5pt;z-index:8;mso-position-horizontal-relative:page;mso-position-vertical-relative:page" stroked="f">
            <v:textbox style="mso-next-textbox:#_x0000_s2242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5712"/>
                    <w:gridCol w:w="1318"/>
                  </w:tblGrid>
                  <w:tr w:rsidR="003155F3" w:rsidRPr="003155F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3155F3" w:rsidRPr="003155F3" w:rsidRDefault="003155F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3155F3" w:rsidRP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.אחרי סעיף 11 לחוק העיקרי יבוא:</w:t>
                        </w:r>
                      </w:p>
                    </w:tc>
                  </w:tr>
                  <w:tr w:rsidR="003155F3" w:rsidRPr="003155F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בית משפט שהרשיע קבלן לעבודות הנדסה בנאיות בעבירה שנקבעה</w:t>
                        </w:r>
                      </w:p>
                      <w:p w:rsid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לענין סעיף 8 (א) (2), לרבות בית משפט שדחה ערעור על הר-</w:t>
                        </w:r>
                      </w:p>
                      <w:p w:rsid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באמור, כולו או מקצתו, ימציא לרשם באמצעות היועץ המשפטי</w:t>
                        </w:r>
                      </w:p>
                      <w:p w:rsid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העתק מפסק הדין,"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3155F3" w:rsidRPr="003155F3" w:rsidRDefault="003155F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הרשעה בפלילים</w:t>
                        </w:r>
                      </w:p>
                    </w:tc>
                  </w:tr>
                  <w:tr w:rsidR="003155F3" w:rsidRPr="003155F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3155F3" w:rsidRPr="003155F3" w:rsidRDefault="003155F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3155F3" w:rsidRPr="003155F3" w:rsidRDefault="003155F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.תחילתו של חוק זה תהא בתום 60 יום מיום הפרסום ברשומות.</w:t>
                        </w:r>
                      </w:p>
                    </w:tc>
                  </w:tr>
                </w:tbl>
                <w:p w:rsidR="003155F3" w:rsidRDefault="003155F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02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247CEF-CE26-42DB-84B6-32440E76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024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27A9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155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2008-04-06T22:55:00Z</dcterms:created>
  <dcterms:modified xsi:type="dcterms:W3CDTF">2008-04-06T22:55:00Z</dcterms:modified>
</cp:coreProperties>
</file>