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271A" w:rsidRDefault="00E3271A">
      <w:pPr>
        <w:rPr>
          <w:rtl/>
        </w:rPr>
      </w:pPr>
    </w:p>
    <w:p w:rsidR="00E327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597" inset="0,0,0,0">
              <w:txbxContent>
                <w:p w:rsidR="00F24AE7" w:rsidRDefault="00F24AE7">
                  <w:r>
                    <w:rPr>
                      <w:rtl/>
                    </w:rPr>
                    <w:t>12                                           ספר החוקים 322                   י"ד בטבת התשכ"א 02.01.1961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8" o:spid="_x0000_s1026" type="#_x0000_t202" style="position:absolute;left:0;text-align:left;margin-left:73.2pt;margin-top:668.55pt;width:393.45pt;height:77pt;z-index:3;mso-position-horizontal-relative:page;mso-position-vertical-relative:page" stroked="f">
            <v:textbox style="mso-next-textbox:#_x0000_s22598" inset="0,0,0,0">
              <w:txbxContent>
                <w:p w:rsidR="00F24AE7" w:rsidRDefault="00F24AE7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זד בטבת תשכ"א (27 בדצמבר 1960); הצעת החוק ודברי הסבר נתפרסמו בה"ח 372, תשי"ט3</w:t>
                  </w:r>
                </w:p>
                <w:p w:rsidR="00F24AE7" w:rsidRDefault="00F24AE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עמ' 144.</w:t>
                  </w:r>
                </w:p>
                <w:p w:rsidR="00F24AE7" w:rsidRDefault="00F24AE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פרק קכ''ח, עמ' 1271.</w:t>
                  </w:r>
                </w:p>
                <w:p w:rsidR="00F24AE7" w:rsidRPr="00E3271A" w:rsidRDefault="00F24AE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2 ס"ח 240, תשי"ח, עמי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9" o:spid="_x0000_s1027" type="#_x0000_t202" style="position:absolute;left:0;text-align:left;margin-left:82.5pt;margin-top:111.35pt;width:479.95pt;height:556.95pt;z-index:2;mso-position-horizontal-relative:page;mso-position-vertical-relative:page" stroked="f">
            <v:textbox style="mso-next-textbox:#_x0000_s2259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9"/>
                    <w:gridCol w:w="1626"/>
                  </w:tblGrid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התעבורה ביחד עם המפקח על הדלק;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מנועי" - כמשמעותו בפקודת התעבורה 1;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"רשיון" - רשיון לרכב מנועי ורשיון נהיגה שניתנו לפי פקודת התעבורה;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כמשמעותו בחוק הפיקוח על מצרכים ושירותים, תשי"ח- 1957 2,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"חוק זה" - לרבות התקנות שהותקנו והצווים שביתנו על פיו. 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.שר האוצר רשאי/ בהתייעצות עם שר התחבורה' לקבוע בצו -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סוג הדלק שבו יונע ויופעל רכב מנועי;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סוג המנוע אשר יהיה מותר להרכיב ברכב מנועי או אשר בו יופעל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ויונע רכב מנועי.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השימוש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מנועי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.כל דבר ששר האוצר רשאי לקבוע או להסדיר לפי חוק זה רשאי הוא לאסרו, להגבילו,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פיקוח או בקורת או להתנותו בקבלת היתר כללי.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ההסדר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רשאי, בהתייעצות עם שר התחבורה, לקבוע בצו הוראות בדבר -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נקיטת אמצעים סבירים שייראו לו דרושים להבטחת קיומו של חוק זה,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בדיקתם של כל מיכל ומיתקן בתחנת דלק, עצירת כל רכב מנועי לשם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כל חלק, מנוע, מכשיר או מיתקן בו במקום, או פתיחת מיכל שלו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ובדיקת כל דלק או חומר הנראה כדלק, וכן נטילת כל חומר לשם בדיקה;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המצאת כל מסמך הנוגע לביצועו של חוק זה;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יומנים ופנקסי חשבונות ומסירת דינים וחשבונות שינוהלו בתחנות דלק;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עבין אחר הדרוש לביצוע חוק זה, ובכלל זה טפסים, היתרים, אישורים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ותעודות, חידושם, התלייתם וביטולם.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משלימות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.צו לפי חוק זה יכול להיות כללי או לסוג מסויים של רכב מנועי.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של צווים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הומצא צו לפי חוק זה לבעל מפעל או לבעל רכב מבועי, לא תיפגע חוקיותו של הצו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פגם שאיבנו מהותי.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בצו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מי שעבר על הוראה מהוראות חוק זה, דינו - קנס ארבעת אלפים לירות.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עבירה חוזרת על הוראה מהוראות חוק זה, דינו - מאסר חדשיים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של חמשת אלפים לירות.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F24AE7" w:rsidRPr="00E3271A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.נעברה עבירה על הוראה מהוראות חוק זה -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ידי פקיד, פועל, שרית, סובן או בא כוח - בנכס השייך למעבידו,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למצווהו או למרשהו - ייאשם בעבירה גם המעביד, המצווה או המרשה;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ידי חבר בני-אדם - יהא דינו של אותו חבר קנס עשרת אלפים לירות,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ייאשם בעבירה גם כל מי שבשעת ביצוע העבירה היה חבר מינהלה פעיל,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או פקיד אחראי של אותו חבר, ובשותפות - לרבות מי שהיה אותה שעה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בה, אך למעט שותף מוגבל;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רכב מנועי - ייאשם בעבירה גם בעל הרכב,</w:t>
                        </w:r>
                      </w:p>
                      <w:p w:rsidR="00F24AE7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שהוראות אלה לא יחולו על מי שהוכיח כי בקט כל האמצעים הבאותים להבטחת</w:t>
                        </w:r>
                      </w:p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שמירתו של חוק זה.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F24AE7" w:rsidRPr="00E3271A" w:rsidRDefault="00F24A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שולחים</w:t>
                        </w:r>
                      </w:p>
                    </w:tc>
                  </w:tr>
                </w:tbl>
                <w:p w:rsidR="00F24AE7" w:rsidRDefault="00F24A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00" o:spid="_x0000_s1028" type="#_x0000_t202" style="position:absolute;left:0;text-align:left;margin-left:139.55pt;margin-top:90.35pt;width:284.35pt;height:15.05pt;z-index:1;mso-position-horizontal-relative:page;mso-position-vertical-relative:page" stroked="f">
            <v:textbox style="mso-next-textbox:#_x0000_s22600" inset="0,0,0,0">
              <w:txbxContent>
                <w:p w:rsidR="00F24AE7" w:rsidRPr="00E3271A" w:rsidRDefault="00F24AE7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הפעלת רכב (מנועים ודלק), תשכ"א-1960 *</w:t>
                  </w:r>
                </w:p>
              </w:txbxContent>
            </v:textbox>
            <w10:wrap anchorx="page" anchory="page"/>
          </v:shape>
        </w:pict>
      </w:r>
    </w:p>
    <w:p w:rsidR="00D9231F" w:rsidRDefault="00D9231F">
      <w:pPr>
        <w:rPr>
          <w:rtl/>
        </w:rPr>
      </w:pPr>
      <w:r>
        <w:rPr>
          <w:rtl/>
        </w:rPr>
        <w:br w:type="page"/>
      </w:r>
    </w:p>
    <w:p w:rsidR="00D9231F" w:rsidRDefault="00000000">
      <w:pPr>
        <w:rPr>
          <w:rtl/>
        </w:rPr>
      </w:pPr>
      <w:r>
        <w:pict>
          <v:shape id="_x0000_s2260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601" inset="0,0,0,0">
              <w:txbxContent>
                <w:p w:rsidR="00F24AE7" w:rsidRDefault="00F24AE7">
                  <w:r>
                    <w:rPr>
                      <w:rtl/>
                    </w:rPr>
                    <w:t>13                                           ספר החוקים 322                   י"ד בטבת התשכ"א 02.01.1961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2" o:spid="_x0000_s1030" type="#_x0000_t202" style="position:absolute;left:0;text-align:left;margin-left:353.25pt;margin-top:694.7pt;width:204.75pt;height:57.6pt;z-index:6;mso-position-horizontal-relative:page;mso-position-vertical-relative:page" stroked="f">
            <v:textbox style="mso-next-textbox:#_x0000_s22602" inset="0,0,0,0">
              <w:txbxContent>
                <w:p w:rsidR="00F24AE7" w:rsidRPr="00D9231F" w:rsidRDefault="00F24AE7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3 חוקי א''י, כרך א', פרק ל"ג,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3" o:spid="_x0000_s1031" type="#_x0000_t202" style="position:absolute;left:0;text-align:left;margin-left:90.9pt;margin-top:83.9pt;width:468.85pt;height:610.65pt;z-index:5;mso-position-horizontal-relative:page;mso-position-vertical-relative:page" stroked="f">
            <v:textbox style="mso-next-textbox:#_x0000_s2260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7109"/>
                  </w:tblGrid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נוסף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הורשע אדם על עבירה כאמור בסעיף 7, רשאי בית המשפט לצוות, בנוסף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עונש אחר' שהנאשם ייפסל מהחזיק ברשיון, לתקופה שקבע בית המשפט.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מפעל שנעברה לגביו עבירה חוזרת כאמור בסעיף 7, רשאי בית המשפט לצוות,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עונש שהוטל על הנאשם, שהמפעל ייסגר לתקופה שקבע בית המשפט.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פסילה מהחזיק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נמסרה לאדם הזמנה לדין בשל עבירה על חוק זה, רשאי המפקח, בצו, ולאחר שנתן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אדם הזדמנות להשמיע דברו לפניו או לפני מי שהמפקח מינה לכך, לפסול אותו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ברשיון לתקופה שלא תעלה על ארבעה עשר יום מיום שהומצא לו הצו; פסילה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תעמוד בתקפה עד שתבוטל על ידי המפקח או על ידי בית המשפט לפי סעיף 11 (ב).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פסילה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היועץ המשפטי לממשלה או בא כוחו, רשאי לפנות לבית משפט השלום ולבקש,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שתיקבע על ידי שר המשפטים, את הארכת תקופת הפסילה; כן רשאי אדם שנפסל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 מהחזיק ברשיון, לפנות לבית משפט השלום ולבקש ביטול הפסילה.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- לאחר שניתנה ליועץ המשפטי לממשלה או בא כוחו,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לאדם שנפסל, הזדמנות להשמיע דברם - לצוות על אישור הפסילה, ביטולה, קיצורה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הארכתה עד לגמר דינו של בעל הרשיון, בתנאים או ללא תנאים.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הוארכה הפסילה ועברו שלושה חדשים מיום המצאת הצו לפי סעיף 10 לידי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הרשיון ולא הוחל במשפט נגדו על המעשה או המחדל שבגללם נפסל - בטלה הפסילה,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על נהיגה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פסילה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אדם הנוהג רכב מנועי בתקופה שבה נפסל לפי סעיפים 10,9 או 11 מהחזיק ברשיון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שניתן לפי פקודת התעבורה, או הנוהג או המרשה לאחר לנהוג ברכב מנועי בתקופה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הוא נפסל מהחזיק ברשיון הרכב שניתן לפי הפקודה האמורה, דינו - מאסר שנה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או קנס עשרת אלפים לירות, אלא שאם הוטל עליו קנס בלבד, ייפסל מהחזיק באותו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תקופה נוספת של שלושה חדשים, או תקופה ארוכה יותר שקבע בית המשפט, החל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הרשעתו או ממועד מאוחר יותר שקבע בית המשפט.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נטילת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המפקח רשאי לקבוע בצו סדרי נטילת רשיון ממי שנפסל להחזיק בו בתוקף חוק זה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להורות בצו על ביצוע כל פעולה אחרת בקשר לרשיון או לרכב המנועי/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הדרושה, לדעתו, כדי להבטיח את הפסקת השימוש ברכב המנועי שבעל הרשיון שלו נפסל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בו, ואת קיומו של כל הסדר, איסור או הגבלה שהוטלו על פי חוק זה.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הצגה ומסירה של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וידיעות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לפי דרישת שוטר וכל אדם שהוסמך לכך על ידי המפקח חייב כל אדם -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להציג לפניהם או למסור להם כל היתר או אישור שניתנו לפי חוק זה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רשיון שניתן לפי פקודת התעבורה;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למסור להם ידיעות ומסמכים אחרים הקשורים לשימוש בדלק או במנוע;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לאפשר ביצוע כל בדיקה ולמסור לבדיקה כל דלק או חומר הנראה כדלק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חלק, מכשיר, מיתקן או מיכל.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כניסה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המפקח, או מי שהוסמך על ידיו לענין זה, רשאי בכל זמן סביר, להיכנס לכל מקום,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מקום מגורים, לשם הבטחת ביצועו של חוק זה או לשם פיקוח על קיומו, והוראות</w:t>
                        </w:r>
                      </w:p>
                      <w:p w:rsidR="00F24AE7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23-19 לפקודת הפרוצידורה הפלילית (מאסר וחיפושים)3, יחולו על כניסה כאמור,</w:t>
                        </w:r>
                      </w:p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שבמקום "שוטר" יבוא לענין זה "המפקח או מי שהוסמך כאמור'/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הטוען שיש בידו היתר, פטור או הקלה אחרת לפי חוק זה - עליו הראיה.</w:t>
                        </w:r>
                      </w:p>
                    </w:tc>
                  </w:tr>
                  <w:tr w:rsidR="00F24AE7" w:rsidRPr="00D9231F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F24AE7" w:rsidRPr="00D9231F" w:rsidRDefault="00F24A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תחילתו של חוק זה ביום י' בטבת תשכ"א (29 בדצמבר 1960).</w:t>
                        </w:r>
                      </w:p>
                    </w:tc>
                  </w:tr>
                </w:tbl>
                <w:p w:rsidR="00F24AE7" w:rsidRDefault="00F24A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24AE7" w:rsidRDefault="00F24AE7">
      <w:pPr>
        <w:rPr>
          <w:rtl/>
        </w:rPr>
      </w:pPr>
      <w:r>
        <w:rPr>
          <w:rtl/>
        </w:rPr>
        <w:br w:type="page"/>
      </w:r>
    </w:p>
    <w:p w:rsidR="00F24AE7" w:rsidRDefault="00000000">
      <w:pPr>
        <w:rPr>
          <w:rtl/>
        </w:rPr>
      </w:pPr>
      <w:r>
        <w:pict>
          <v:shape id="_x0000_s2260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604" inset="0,0,0,0">
              <w:txbxContent>
                <w:p w:rsidR="00F24AE7" w:rsidRDefault="00F24AE7">
                  <w:r>
                    <w:rPr>
                      <w:rtl/>
                    </w:rPr>
                    <w:t>14                                           ספר החוקים 322                   י"ד בטבת התשכ"א 02.01.1961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5" o:spid="_x0000_s1033" type="#_x0000_t202" style="position:absolute;left:0;text-align:left;margin-left:79.25pt;margin-top:709.65pt;width:183.75pt;height:46.75pt;z-index:13;mso-position-horizontal-relative:page;mso-position-vertical-relative:page" stroked="f">
            <v:textbox style="mso-next-textbox:#_x0000_s22605" inset="0,0,0,0">
              <w:txbxContent>
                <w:p w:rsidR="00F24AE7" w:rsidRDefault="00F24A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606" o:spid="_x0000_s1034" type="#_x0000_t202" style="position:absolute;left:0;text-align:left;margin-left:260.4pt;margin-top:618.6pt;width:227.3pt;height:37.6pt;z-index:12;mso-position-horizontal-relative:page;mso-position-vertical-relative:page" stroked="f">
            <v:textbox style="mso-next-textbox:#_x0000_s22606" inset="0,0,0,0">
              <w:txbxContent>
                <w:p w:rsidR="00F24AE7" w:rsidRDefault="00F24AE7">
                  <w:pPr>
                    <w:pStyle w:val="OCRStyle3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4 ק''ת 755, תשי''ח, עמ' 474; ק''ת 758, תשי''ח, עמ' 525.</w:t>
                  </w:r>
                </w:p>
                <w:p w:rsidR="00F24AE7" w:rsidRPr="00F24AE7" w:rsidRDefault="00F24AE7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5 ס"ת 301, תש"ך,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7" o:spid="_x0000_s1035" type="#_x0000_t202" style="position:absolute;left:0;text-align:left;margin-left:115.1pt;margin-top:211.7pt;width:80.2pt;height:37.6pt;z-index:11;mso-position-horizontal-relative:page;mso-position-vertical-relative:page" stroked="f">
            <v:textbox style="mso-next-textbox:#_x0000_s22607" inset="0,0,0,0">
              <w:txbxContent>
                <w:p w:rsidR="00F24AE7" w:rsidRDefault="00F24AE7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24AE7" w:rsidRDefault="00F24AE7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8" o:spid="_x0000_s1036" type="#_x0000_t202" style="position:absolute;left:0;text-align:left;margin-left:222pt;margin-top:211.7pt;width:104.55pt;height:39.2pt;z-index:10;mso-position-horizontal-relative:page;mso-position-vertical-relative:page" stroked="f">
            <v:textbox style="mso-next-textbox:#_x0000_s22608" inset="0,0,0,0">
              <w:txbxContent>
                <w:p w:rsidR="00F24AE7" w:rsidRDefault="00F24AE7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24AE7" w:rsidRDefault="00F24AE7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09" o:spid="_x0000_s1037" type="#_x0000_t202" style="position:absolute;left:0;text-align:left;margin-left:371.5pt;margin-top:242.6pt;width:104.55pt;height:35.05pt;z-index:9;mso-position-horizontal-relative:page;mso-position-vertical-relative:page" stroked="f">
            <v:textbox style="mso-next-textbox:#_x0000_s22609" inset="0,0,0,0">
              <w:txbxContent>
                <w:p w:rsidR="00F24AE7" w:rsidRDefault="00F24AE7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F24AE7" w:rsidRDefault="00F24AE7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0" o:spid="_x0000_s1038" type="#_x0000_t202" style="position:absolute;left:0;text-align:left;margin-left:80.8pt;margin-top:83.8pt;width:471.25pt;height:126.15pt;z-index:8;mso-position-horizontal-relative:page;mso-position-vertical-relative:page" stroked="f">
            <v:textbox style="mso-next-textbox:#_x0000_s226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368"/>
                  </w:tblGrid>
                  <w:tr w:rsidR="00F24AE7" w:rsidRPr="00F24AE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צו-שעת-חירום (הפעלת רכב מנועי בבנזין)/ תשי"ח-1957 4, יראו מיום תחילתו</w:t>
                        </w:r>
                      </w:p>
                      <w:p w:rsid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באילו ניתן על ידי שר האוצר לפי הוראות חוק זה' אלא שתקפו יפקע ביום</w:t>
                        </w:r>
                      </w:p>
                      <w:p w:rsid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 בניסן תשכ"א (29 במרס 1961).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F24AE7" w:rsidRP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מעני</w:t>
                        </w:r>
                      </w:p>
                    </w:tc>
                  </w:tr>
                  <w:tr w:rsidR="00F24AE7" w:rsidRPr="00F24AE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.החוק להארבת תקפן של תקנות-שעת-חירום (הפעלת רכב מנועי בבנזין)' תש"ך-</w:t>
                        </w:r>
                      </w:p>
                      <w:p w:rsidR="00F24AE7" w:rsidRP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 5- בטל.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F24AE7" w:rsidRP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F24AE7" w:rsidRPr="00F24AE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שר האוצר ממונה על ביצוע חוק זה והוא רשאי, בהתייעצות עם שר התחבורה,</w:t>
                        </w:r>
                      </w:p>
                      <w:p w:rsidR="00F24AE7" w:rsidRP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F24AE7" w:rsidRPr="00F24AE7" w:rsidRDefault="00F24A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ביצוע ותקנות</w:t>
                        </w:r>
                      </w:p>
                    </w:tc>
                  </w:tr>
                </w:tbl>
                <w:p w:rsidR="00F24AE7" w:rsidRDefault="00F24A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27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BE46F0-D2F0-4916-890C-9AC75A8A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27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9231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24A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2008-04-06T19:36:00Z</dcterms:created>
  <dcterms:modified xsi:type="dcterms:W3CDTF">2008-04-06T19:36:00Z</dcterms:modified>
</cp:coreProperties>
</file>