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72F76" w:rsidRDefault="00372F76">
      <w:pPr>
        <w:rPr>
          <w:rtl/>
        </w:rPr>
      </w:pPr>
    </w:p>
    <w:p w:rsidR="00372F7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01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3016" inset="0,0,0,0">
              <w:txbxContent>
                <w:p w:rsidR="00372F76" w:rsidRDefault="00372F76">
                  <w:r>
                    <w:rPr>
                      <w:rtl/>
                    </w:rPr>
                    <w:t>200                                          ספר החוקים 707                  כ"ו בתמוז התשל"ג 26.07.1973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23017" o:spid="_x0000_s1026" type="#_x0000_t202" style="position:absolute;left:0;text-align:left;margin-left:83.85pt;margin-top:272.7pt;width:370.65pt;height:59.8pt;z-index:6;mso-position-horizontal-relative:page;mso-position-vertical-relative:page" stroked="f">
            <v:textbox style="mso-next-textbox:#_x0000_s23017" inset="0,0,0,0">
              <w:txbxContent>
                <w:p w:rsidR="00372F76" w:rsidRDefault="00372F76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ט"ז בתמוז תשל"ג (16 ביולי 1973): הצעת החוק ודברי הסבר פורסמו בה"ח 1075, תשל"ג,</w:t>
                  </w:r>
                </w:p>
                <w:p w:rsidR="00372F76" w:rsidRDefault="00372F76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עמי 370.</w:t>
                  </w:r>
                </w:p>
                <w:p w:rsidR="00372F76" w:rsidRDefault="00372F76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1 ס-'ה תשכ"ה, עמ' 248; תשל"ג, עמי 22.</w:t>
                  </w:r>
                </w:p>
                <w:p w:rsidR="00372F76" w:rsidRPr="00372F76" w:rsidRDefault="00372F76">
                  <w:pPr>
                    <w:pStyle w:val="OCRStyle1"/>
                    <w:ind w:left="173"/>
                  </w:pPr>
                  <w:r>
                    <w:rPr>
                      <w:rtl/>
                    </w:rPr>
                    <w:t>2 דיני מדינת ישראל, נוסח חדש 8, עמי 197; סייח תשל"ג, עמי .22</w:t>
                  </w:r>
                </w:p>
              </w:txbxContent>
            </v:textbox>
            <w10:wrap anchorx="page" anchory="page"/>
          </v:shape>
        </w:pict>
      </w:r>
      <w:r>
        <w:pict>
          <v:shape id="_x0000_s23018" o:spid="_x0000_s1027" type="#_x0000_t202" style="position:absolute;left:0;text-align:left;margin-left:95.35pt;margin-top:201.6pt;width:93.25pt;height:41.6pt;z-index:5;mso-position-horizontal-relative:page;mso-position-vertical-relative:page" stroked="f">
            <v:textbox style="mso-next-textbox:#_x0000_s23018" inset="0,0,0,0">
              <w:txbxContent>
                <w:p w:rsidR="00372F76" w:rsidRDefault="00372F76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372F76" w:rsidRDefault="00372F76">
                  <w:pPr>
                    <w:pStyle w:val="OCRStyle1"/>
                    <w:ind w:left="475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3019" o:spid="_x0000_s1028" type="#_x0000_t202" style="position:absolute;left:0;text-align:left;margin-left:222.85pt;margin-top:201.6pt;width:103.95pt;height:44.95pt;z-index:4;mso-position-horizontal-relative:page;mso-position-vertical-relative:page" stroked="f">
            <v:textbox style="mso-next-textbox:#_x0000_s23019" inset="0,0,0,0">
              <w:txbxContent>
                <w:p w:rsidR="00372F76" w:rsidRDefault="00372F76">
                  <w:pPr>
                    <w:pStyle w:val="OCRStyle1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372F76" w:rsidRDefault="00372F76">
                  <w:pPr>
                    <w:pStyle w:val="OCRStyle1"/>
                    <w:ind w:left="55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020" o:spid="_x0000_s1029" type="#_x0000_t202" style="position:absolute;left:0;text-align:left;margin-left:378.3pt;margin-top:227.75pt;width:95.85pt;height:44.15pt;z-index:3;mso-position-horizontal-relative:page;mso-position-vertical-relative:page" stroked="f">
            <v:textbox style="mso-next-textbox:#_x0000_s23020" inset="0,0,0,0">
              <w:txbxContent>
                <w:p w:rsidR="00372F76" w:rsidRDefault="00372F76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372F76" w:rsidRDefault="00372F76">
                  <w:pPr>
                    <w:pStyle w:val="OCRStyle1"/>
                    <w:ind w:left="46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021" o:spid="_x0000_s1030" type="#_x0000_t202" style="position:absolute;left:0;text-align:left;margin-left:82.3pt;margin-top:97.65pt;width:454.8pt;height:89.9pt;z-index:2;mso-position-horizontal-relative:page;mso-position-vertical-relative:page" stroked="f">
            <v:textbox style="mso-next-textbox:#_x0000_s2302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54"/>
                    <w:gridCol w:w="1217"/>
                  </w:tblGrid>
                  <w:tr w:rsidR="00372F76" w:rsidRPr="00372F76">
                    <w:trPr>
                      <w:jc w:val="right"/>
                    </w:trPr>
                    <w:tc>
                      <w:tcPr>
                        <w:tcW w:w="4264" w:type="pct"/>
                      </w:tcPr>
                      <w:p w:rsidR="00372F76" w:rsidRDefault="00372F76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7 (8) לחוק הרשויות המקומיות (בחירות), תשכ"ה-1965 1, אחרי "לפי הפקודה</w:t>
                        </w:r>
                      </w:p>
                      <w:p w:rsidR="00372F76" w:rsidRDefault="00372F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האמורה" יבוא "או צו המבטל את ההכרזה משום שחובותיו של פושט הרגל שולמו</w:t>
                        </w:r>
                      </w:p>
                      <w:p w:rsidR="00372F76" w:rsidRPr="00372F76" w:rsidRDefault="00372F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במלואן".</w:t>
                        </w:r>
                      </w:p>
                    </w:tc>
                    <w:tc>
                      <w:tcPr>
                        <w:tcW w:w="736" w:type="pct"/>
                      </w:tcPr>
                      <w:p w:rsidR="00372F76" w:rsidRDefault="00372F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372F76" w:rsidRDefault="00372F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הרשויות</w:t>
                        </w:r>
                      </w:p>
                      <w:p w:rsidR="00372F76" w:rsidRDefault="00372F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המקומיות</w:t>
                        </w:r>
                      </w:p>
                      <w:p w:rsidR="00372F76" w:rsidRPr="00372F76" w:rsidRDefault="00372F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(בחירות)</w:t>
                        </w:r>
                      </w:p>
                    </w:tc>
                  </w:tr>
                  <w:tr w:rsidR="00372F76" w:rsidRPr="00372F76">
                    <w:trPr>
                      <w:jc w:val="right"/>
                    </w:trPr>
                    <w:tc>
                      <w:tcPr>
                        <w:tcW w:w="4264" w:type="pct"/>
                      </w:tcPr>
                      <w:p w:rsidR="00372F76" w:rsidRDefault="00372F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120 (7) לפקודת העיריות 2, אחרי "לפי הפקודה האמורה" יבוא "או צו המבטל</w:t>
                        </w:r>
                      </w:p>
                      <w:p w:rsidR="00372F76" w:rsidRPr="00372F76" w:rsidRDefault="00372F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ההכרזה משום שחובותיו של פושט הרגל שולמו במלואן".</w:t>
                        </w:r>
                      </w:p>
                    </w:tc>
                    <w:tc>
                      <w:tcPr>
                        <w:tcW w:w="736" w:type="pct"/>
                      </w:tcPr>
                      <w:p w:rsidR="00372F76" w:rsidRDefault="00372F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372F76" w:rsidRPr="00372F76" w:rsidRDefault="00372F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העיריות</w:t>
                        </w:r>
                      </w:p>
                    </w:tc>
                  </w:tr>
                </w:tbl>
                <w:p w:rsidR="00372F76" w:rsidRDefault="00372F7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022" o:spid="_x0000_s1031" type="#_x0000_t202" style="position:absolute;left:0;text-align:left;margin-left:112.4pt;margin-top:64.2pt;width:324.9pt;height:28.5pt;z-index:1;mso-position-horizontal-relative:page;mso-position-vertical-relative:page" stroked="f">
            <v:textbox style="mso-next-textbox:#_x0000_s23022" inset="0,0,0,0">
              <w:txbxContent>
                <w:p w:rsidR="00372F76" w:rsidRPr="00372F76" w:rsidRDefault="00372F76">
                  <w:pPr>
                    <w:pStyle w:val="OCRStyle1"/>
                    <w:ind w:left="24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דיני הרשויות המקומיות (מס' 4), תשל"ג-1973*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72F7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2F7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15C497B-BCDE-482C-AE1B-DE5170F13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72F7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2008-04-07T11:49:00Z</dcterms:created>
  <dcterms:modified xsi:type="dcterms:W3CDTF">2008-04-07T11:49:00Z</dcterms:modified>
</cp:coreProperties>
</file>