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20AEA" w:rsidRDefault="00920AEA">
      <w:pPr>
        <w:rPr>
          <w:rtl/>
        </w:rPr>
      </w:pPr>
    </w:p>
    <w:p w:rsidR="00920AE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05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3050" inset="0,0,0,0">
              <w:txbxContent>
                <w:p w:rsidR="00920AEA" w:rsidRDefault="00920AEA">
                  <w:r>
                    <w:rPr>
                      <w:rtl/>
                    </w:rPr>
                    <w:t>32                                          ספר החוקים 1040                   י"ח בשבט התשמ"ב 11.02.1982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51" o:spid="_x0000_s1026" type="#_x0000_t202" style="position:absolute;left:0;text-align:left;margin-left:98.4pt;margin-top:695.35pt;width:169.1pt;height:34.65pt;z-index:7;mso-wrap-style:none;mso-position-horizontal-relative:page;mso-position-vertical-relative:page" stroked="f">
            <v:textbox style="mso-next-textbox:#_x0000_s23051" inset="0,0,0,0">
              <w:txbxContent>
                <w:p w:rsidR="00920AEA" w:rsidRDefault="00920AEA">
                  <w:pPr>
                    <w:pStyle w:val="OCRStyle1"/>
                    <w:ind w:left="10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1040, י"ח בשבט התשמ"ב, 11.2.1982</w:t>
                  </w:r>
                </w:p>
                <w:p w:rsidR="00920AEA" w:rsidRPr="00920AEA" w:rsidRDefault="00920AEA">
                  <w:pPr>
                    <w:pStyle w:val="OCRStyle1"/>
                    <w:ind w:left="828"/>
                  </w:pPr>
                  <w:r>
                    <w:rPr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52" o:spid="_x0000_s1027" type="#_x0000_t202" style="position:absolute;left:0;text-align:left;margin-left:99.2pt;margin-top:480.1pt;width:383.7pt;height:46.15pt;z-index:6;mso-wrap-style:none;mso-position-horizontal-relative:page;mso-position-vertical-relative:page" stroked="f">
            <v:textbox style="mso-next-textbox:#_x0000_s23052" inset="0,0,0,0">
              <w:txbxContent>
                <w:p w:rsidR="00920AEA" w:rsidRDefault="00920AEA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* גתקבל בכנסת ביום ט' בשבט התשמ"ב (2 בפברואר 1982); הצעת החוק ודברי הסבר פורסמו בה"ח 1556,</w:t>
                  </w:r>
                </w:p>
                <w:p w:rsidR="00920AEA" w:rsidRDefault="00920AEA">
                  <w:pPr>
                    <w:pStyle w:val="OCRStyle1"/>
                    <w:ind w:left="4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התשמ''ב, עמ' 24.</w:t>
                  </w:r>
                </w:p>
                <w:p w:rsidR="00920AEA" w:rsidRPr="00920AEA" w:rsidRDefault="00920AEA">
                  <w:pPr>
                    <w:pStyle w:val="OCRStyle1"/>
                    <w:ind w:left="22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התשל"ח, עמ' 153.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53" o:spid="_x0000_s1028" type="#_x0000_t202" style="position:absolute;left:0;text-align:left;margin-left:98.4pt;margin-top:373.6pt;width:84.95pt;height:35.45pt;z-index:5;mso-wrap-style:none;mso-position-horizontal-relative:page;mso-position-vertical-relative:page" stroked="f">
            <v:textbox style="mso-next-textbox:#_x0000_s23053" inset="0,0,0,0">
              <w:txbxContent>
                <w:p w:rsidR="00920AEA" w:rsidRDefault="00920AEA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920AEA" w:rsidRDefault="00920AEA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54" o:spid="_x0000_s1029" type="#_x0000_t202" style="position:absolute;left:0;text-align:left;margin-left:246.1pt;margin-top:372pt;width:89.1pt;height:38.8pt;z-index:4;mso-wrap-style:none;mso-position-horizontal-relative:page;mso-position-vertical-relative:page" stroked="f">
            <v:textbox style="mso-next-textbox:#_x0000_s23054" inset="0,0,0,0">
              <w:txbxContent>
                <w:p w:rsidR="00920AEA" w:rsidRDefault="00920AEA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920AEA" w:rsidRDefault="00920AEA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55" o:spid="_x0000_s1030" type="#_x0000_t202" style="position:absolute;left:0;text-align:left;margin-left:395.4pt;margin-top:407.45pt;width:88.3pt;height:39.6pt;z-index:3;mso-wrap-style:none;mso-position-horizontal-relative:page;mso-position-vertical-relative:page" stroked="f">
            <v:textbox style="mso-next-textbox:#_x0000_s23055" inset="0,0,0,0">
              <w:txbxContent>
                <w:p w:rsidR="00920AEA" w:rsidRDefault="00920AEA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920AEA" w:rsidRDefault="00920AEA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56" o:spid="_x0000_s1031" type="#_x0000_t202" style="position:absolute;left:0;text-align:left;margin-left:93.45pt;margin-top:99.75pt;width:457.95pt;height:258.2pt;z-index:2;mso-wrap-style:none;mso-position-horizontal-relative:page;mso-position-vertical-relative:page" stroked="f">
            <v:textbox style="mso-next-textbox:#_x0000_s23056" inset="0,0,0,0">
              <w:txbxContent>
                <w:tbl>
                  <w:tblPr>
                    <w:tblW w:w="488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1"/>
                    <w:gridCol w:w="1184"/>
                  </w:tblGrid>
                  <w:tr w:rsidR="00920AEA" w:rsidRPr="00920AEA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920AEA" w:rsidRDefault="00920AEA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3 לחוק הרשויות המקומיות (משמעת), התשל"ח-1978ג (להלן - החוק</w:t>
                        </w:r>
                      </w:p>
                      <w:p w:rsidR="00920AEA" w:rsidRDefault="00920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אחרי סעיף קטן (ג) יבוא:</w:t>
                        </w:r>
                      </w:p>
                      <w:p w:rsidR="00920AEA" w:rsidRDefault="00920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לענין סעיף זה, "עובד" - לרבות הזכאי לקיצבת פרישה מרשות מקומית</w:t>
                        </w:r>
                      </w:p>
                      <w:p w:rsidR="00920AEA" w:rsidRPr="00920AEA" w:rsidRDefault="00920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שטרם מלאו לו שבעים שנה וטרם מלאו חמש שנים מיום יציאתו לקיצבה."</w:t>
                        </w:r>
                      </w:p>
                    </w:tc>
                    <w:tc>
                      <w:tcPr>
                        <w:tcW w:w="711" w:type="pct"/>
                      </w:tcPr>
                      <w:p w:rsidR="00920AEA" w:rsidRPr="00920AEA" w:rsidRDefault="00920A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920AEA" w:rsidRPr="00920AEA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920AEA" w:rsidRDefault="00920A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האמור בסעיף 5 לחוק העיקרי יסומן (א) ואחריו יבוא:</w:t>
                        </w:r>
                      </w:p>
                      <w:p w:rsidR="00920AEA" w:rsidRDefault="00920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"(ב&gt; שר המשפטים בהתייעצות עם שר הפנים רשאי למנות כחבר וכאב בית</w:t>
                        </w:r>
                      </w:p>
                      <w:p w:rsidR="00920AEA" w:rsidRDefault="00920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אזורי, לתקופה שלא תעלה על חמש שנים, מי שאינו עובד רשות מקומית</w:t>
                        </w:r>
                      </w:p>
                      <w:p w:rsidR="00920AEA" w:rsidRDefault="00920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נתמנה לפי סעיף 3, י ובלבד שנתמלאו בו שני אלה:</w:t>
                        </w:r>
                      </w:p>
                      <w:p w:rsidR="00920AEA" w:rsidRDefault="00920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כשיר להתמנות שופט בית משפט שלום;</w:t>
                        </w:r>
                      </w:p>
                      <w:p w:rsidR="00920AEA" w:rsidRDefault="00920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המליצו עליו הן ארגון העובדים המייצג את המספר הגדול ביותר של</w:t>
                        </w:r>
                      </w:p>
                      <w:p w:rsidR="00920AEA" w:rsidRDefault="00920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הרשויות המקומיות והן הארגון המייצג את המספר הגדול ביותר</w:t>
                        </w:r>
                      </w:p>
                      <w:p w:rsidR="00920AEA" w:rsidRPr="00920AEA" w:rsidRDefault="00920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רשויות מקומיות,"</w:t>
                        </w:r>
                      </w:p>
                    </w:tc>
                    <w:tc>
                      <w:tcPr>
                        <w:tcW w:w="711" w:type="pct"/>
                      </w:tcPr>
                      <w:p w:rsidR="00920AEA" w:rsidRPr="00920AEA" w:rsidRDefault="00920A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920AEA" w:rsidRPr="00920AEA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920AEA" w:rsidRDefault="00920A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21 (ב) לחוק העיקרי, אחרי "בתי הדין האזוריים" יבוא "שכרם וכפיפותם</w:t>
                        </w:r>
                      </w:p>
                      <w:p w:rsidR="00920AEA" w:rsidRPr="00920AEA" w:rsidRDefault="00920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העובדים בחם ושל מי שהתמנה לפי סעיף 5 (ב)".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920AEA" w:rsidRPr="00920AEA" w:rsidRDefault="00920A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</w:t>
                        </w:r>
                      </w:p>
                    </w:tc>
                  </w:tr>
                </w:tbl>
                <w:p w:rsidR="00920AEA" w:rsidRDefault="00920AE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057" o:spid="_x0000_s1032" type="#_x0000_t202" style="position:absolute;left:0;text-align:left;margin-left:128.1pt;margin-top:71.65pt;width:316.8pt;height:25.75pt;z-index:1;mso-wrap-style:none;mso-position-horizontal-relative:page;mso-position-vertical-relative:page" stroked="f">
            <v:textbox style="mso-next-textbox:#_x0000_s23057" inset="0,0,0,0">
              <w:txbxContent>
                <w:p w:rsidR="00920AEA" w:rsidRPr="00920AEA" w:rsidRDefault="00920AEA">
                  <w:pPr>
                    <w:pStyle w:val="OCRStyle1"/>
                    <w:ind w:left="24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הרשויות המקומיות (משמעת) (תיקון), התשמ"ב-1982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20AE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0AE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90893EA-69E6-4768-AA3B-7C1201157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20AE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2008-04-07T00:56:00Z</dcterms:created>
  <dcterms:modified xsi:type="dcterms:W3CDTF">2008-04-07T00:56:00Z</dcterms:modified>
</cp:coreProperties>
</file>