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62FB" w:rsidRDefault="002E62FB">
      <w:pPr>
        <w:rPr>
          <w:rtl/>
        </w:rPr>
      </w:pPr>
    </w:p>
    <w:p w:rsidR="002E62F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0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058" inset="0,0,0,0">
              <w:txbxContent>
                <w:p w:rsidR="000A1EB7" w:rsidRDefault="000A1EB7">
                  <w:r>
                    <w:rPr>
                      <w:rtl/>
                    </w:rPr>
                    <w:t>153                                          ספר החוקים 902                  ט"ז בתמוז התשל"ח 21.07.1978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59" o:spid="_x0000_s1026" type="#_x0000_t202" style="position:absolute;left:0;text-align:left;margin-left:145.8pt;margin-top:677.05pt;width:394.4pt;height:72.65pt;z-index:3;mso-position-horizontal-relative:page;mso-position-vertical-relative:page" stroked="f">
            <v:textbox style="mso-next-textbox:#_x0000_s23059" inset="0,0,0,0">
              <w:txbxContent>
                <w:p w:rsidR="000A1EB7" w:rsidRDefault="000A1EB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בתמוז תשל"ח (11 ביולי 1978); הצעת החוק ודברי הסבר פורסמו בה"ח 1176, תשל"ה,</w:t>
                  </w:r>
                </w:p>
                <w:p w:rsidR="000A1EB7" w:rsidRPr="002E62FB" w:rsidRDefault="000A1EB7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60" o:spid="_x0000_s1027" type="#_x0000_t202" style="position:absolute;left:0;text-align:left;margin-left:85.4pt;margin-top:102.05pt;width:461.75pt;height:564.5pt;z-index:2;mso-position-horizontal-relative:page;mso-position-vertical-relative:page" stroked="f">
            <v:textbox style="mso-next-textbox:#_x0000_s2306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7152"/>
                  </w:tblGrid>
                  <w:tr w:rsidR="000A1EB7" w:rsidRPr="002E62F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A1EB7" w:rsidRPr="002E62FB" w:rsidRDefault="000A1E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A1EB7" w:rsidRPr="002E62FB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זה, "רשות מקומית" - עיריה, מועצה מקומית או איגוד ערים.</w:t>
                        </w:r>
                      </w:p>
                    </w:tc>
                  </w:tr>
                  <w:tr w:rsidR="000A1EB7" w:rsidRPr="002E62F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A1EB7" w:rsidRPr="002E62FB" w:rsidRDefault="000A1E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בתי-דין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A1EB7" w:rsidRDefault="000A1E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יוקמו בתי דין למשמעת של עובדי הרשויות המקומיות שתפקידם לשפוט את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הרשויות המקומיות על עבירות משמעת לפי חוק זה (להלן - בתי הדין).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בתי הדין יוקמו -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בירושלים, בתל-אביב-יפו ובחיפה (לבית דין באמור ייקרא בית דין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מקומי);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לכל אזור במדינה ששר הפנים יקבע את תחומו כצו (לבית דין כאמור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בית-דין אזורי); לבית דין אזורי תהא סמכות לדון בעבירות משמעת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הרשויות המקומיות הנמצאות בתחום האזור אשר לו הוקם בית הדין</w:t>
                        </w:r>
                      </w:p>
                      <w:p w:rsidR="000A1EB7" w:rsidRPr="002E62FB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הרשויות האזוריות).</w:t>
                        </w:r>
                      </w:p>
                    </w:tc>
                  </w:tr>
                  <w:tr w:rsidR="000A1EB7" w:rsidRPr="002E62F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A1EB7" w:rsidRDefault="000A1E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חברי בתי</w:t>
                        </w:r>
                      </w:p>
                      <w:p w:rsidR="000A1EB7" w:rsidRPr="002E62FB" w:rsidRDefault="000A1E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A1EB7" w:rsidRDefault="000A1E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.(א) חברי בית דין מקומי יהיו עובדי הרשות המקומית שבה הוקם בית הדין; שר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המשפטים,.בהתייעצות עם שר הפנים, ימנה אותם מתוך שלוש רשימות, והן: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רשימת העובדים הכשירים להתמנות שופטי בית משפט שלום, שערך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המשפטים;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רשימה שהגישה מועצת הרשות המקומית;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רשימה שהגיש ארגון העובדים המייצג את המספר הגדול ביותר של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הרשות המקומית; לא הגיש ארגון העובדים רשימה כאמור תוך חדשיים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שנמסרה לו דרישה לעשות כן, ימונו חברים לבית הדין מתוך כלל עובדי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המקומית.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בית דין אזורי יהיו עובדי הרשויות האזוריות; שר המשפטים בהתייעצות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הפנים, ימנה אותם מתוך שלוש רשימות, והן: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רשימת העובדים הכשירים להתמנות שופטי בית משפט שלום, שערך שר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המשפטים;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רשימות שהגישו מועצות הרשויות האזוריות;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רשימה שהגיש ארגון העובדים המייצג את המספר הגדול ביותר של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הרשויות האזוריות; לא הגיש ארגון העובדים רשימה כאמור תוך חדשיים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שנמסרה לו דרישה לעשות כן, ימונו חברים לבית הדין מתוך כלל עובדי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האזוריות, ''--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בצו את המספר המינימלי של העובדים המוצעים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בית הדין בכל אחת מהרשימות לפי סעיף זה; פחת מספר המוצעים ברשימה פלונית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מהמינימום שנקבע לה, והרשאי להגישה לא השלים אותה תוך 60 יום מיום שנמסרה לו</w:t>
                        </w:r>
                      </w:p>
                      <w:p w:rsidR="000A1EB7" w:rsidRPr="002E62FB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לעשות כן, רשאי שר המשפטים להשלים את הרשימה.</w:t>
                        </w:r>
                      </w:p>
                    </w:tc>
                  </w:tr>
                  <w:tr w:rsidR="000A1EB7" w:rsidRPr="002E62F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A1EB7" w:rsidRPr="002E62FB" w:rsidRDefault="000A1E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המינוי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A1EB7" w:rsidRDefault="000A1E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מינויו של חבר בית דין יהיה לתקופה של חמש שנים, אולם מי שתמה תקופת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מותר לחזור ולמנותו.</w:t>
                        </w:r>
                      </w:p>
                      <w:p w:rsidR="000A1EB7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בית דין שהחל לדון בענין פלוני תוך תקופת מינויו,.רשאי לסיימו גם לאחר</w:t>
                        </w:r>
                      </w:p>
                      <w:p w:rsidR="000A1EB7" w:rsidRPr="002E62FB" w:rsidRDefault="000A1E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שתמה תקופה זו.</w:t>
                        </w:r>
                      </w:p>
                    </w:tc>
                  </w:tr>
                </w:tbl>
                <w:p w:rsidR="000A1EB7" w:rsidRDefault="000A1E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061" o:spid="_x0000_s1028" type="#_x0000_t202" style="position:absolute;left:0;text-align:left;margin-left:191.75pt;margin-top:75.1pt;width:296.6pt;height:25.95pt;z-index:1;mso-position-horizontal-relative:page;mso-position-vertical-relative:page" stroked="f">
            <v:textbox style="mso-next-textbox:#_x0000_s23061" inset="0,0,0,0">
              <w:txbxContent>
                <w:p w:rsidR="000A1EB7" w:rsidRPr="002E62FB" w:rsidRDefault="000A1EB7">
                  <w:pPr>
                    <w:pStyle w:val="OCRStyle1"/>
                    <w:ind w:left="2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(משמעת), תשל"ח-1978 *</w:t>
                  </w:r>
                </w:p>
              </w:txbxContent>
            </v:textbox>
            <w10:wrap anchorx="page" anchory="page"/>
          </v:shape>
        </w:pict>
      </w:r>
    </w:p>
    <w:p w:rsidR="00460C9B" w:rsidRDefault="00460C9B">
      <w:pPr>
        <w:rPr>
          <w:rtl/>
        </w:rPr>
      </w:pPr>
      <w:r>
        <w:rPr>
          <w:rtl/>
        </w:rPr>
        <w:br w:type="page"/>
      </w:r>
    </w:p>
    <w:p w:rsidR="00460C9B" w:rsidRDefault="00000000">
      <w:pPr>
        <w:rPr>
          <w:rtl/>
        </w:rPr>
      </w:pPr>
      <w:r>
        <w:pict>
          <v:shape id="_x0000_s2306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062" inset="0,0,0,0">
              <w:txbxContent>
                <w:p w:rsidR="000A1EB7" w:rsidRDefault="000A1EB7">
                  <w:r>
                    <w:rPr>
                      <w:rtl/>
                    </w:rPr>
                    <w:t>154                                          ספר החוקים 902                  ט"ז בתמוז התשל"ח 21.07.1978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63" o:spid="_x0000_s1030" type="#_x0000_t202" style="position:absolute;left:0;text-align:left;margin-left:104.05pt;margin-top:696.65pt;width:380.55pt;height:51.1pt;z-index:6;mso-position-horizontal-relative:page;mso-position-vertical-relative:page" stroked="f">
            <v:textbox style="mso-next-textbox:#_x0000_s23063" inset="0,0,0,0">
              <w:txbxContent>
                <w:p w:rsidR="000A1EB7" w:rsidRPr="00460C9B" w:rsidRDefault="000A1EB7">
                  <w:pPr>
                    <w:pStyle w:val="OCRStyle2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ל"ד,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64" o:spid="_x0000_s1031" type="#_x0000_t202" style="position:absolute;left:0;text-align:left;margin-left:87.65pt;margin-top:68.2pt;width:467.85pt;height:623.3pt;z-index:5;mso-position-horizontal-relative:page;mso-position-vertical-relative:page" stroked="f">
            <v:textbox style="mso-next-textbox:#_x0000_s2306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4"/>
                    <w:gridCol w:w="1102"/>
                  </w:tblGrid>
                  <w:tr w:rsidR="000A1EB7" w:rsidRPr="00460C9B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.שר המשפטים, בהתייעצות עם שר הפנים, ימנה לכל בית דין אב בית דין וממלא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מכין חברי בית הדין שנתמנו לפי סעיף .3</w:t>
                        </w:r>
                      </w:p>
                    </w:tc>
                    <w:tc>
                      <w:tcPr>
                        <w:tcW w:w="648" w:type="pct"/>
                      </w:tcPr>
                      <w:p w:rsidR="000A1EB7" w:rsidRPr="00460C9B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 בית דין</w:t>
                        </w:r>
                      </w:p>
                    </w:tc>
                  </w:tr>
                  <w:tr w:rsidR="000A1EB7" w:rsidRPr="00460C9B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0A1EB7" w:rsidRPr="00460C9B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המינויים של חברי בתי הדין, אבות בתי הדין וממלאי מקומם יפורסמו ברשומות.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0A1EB7" w:rsidRPr="00460C9B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  <w:tr w:rsidR="000A1EB7" w:rsidRPr="00460C9B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0A1EB7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בית דין ידון בצוותים של שלושה שימנה אב בית הדין לכל דיון בענין פלוני: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צוות יהיה חכר אחד מכל אחת משלוש הרשימות הנזכרות בסעיף 3, ובלבד שבדיון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דין אזורי לא ימונה לצוות חכר בית הדין שהוא עובד של הרשות שהנאשם עובד בה.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אב בית הדין ימנה את היושב-ראש לכל צוות" נמנה אב בית הדין עצמו עם</w:t>
                        </w:r>
                      </w:p>
                      <w:p w:rsidR="000A1EB7" w:rsidRPr="00460C9B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הצוות - יהיה הוא היושב-ראש.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0A1EB7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הרבב צוותי בתי</w:t>
                        </w:r>
                      </w:p>
                      <w:p w:rsidR="000A1EB7" w:rsidRPr="00460C9B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</w:tr>
                  <w:tr w:rsidR="000A1EB7" w:rsidRPr="00460C9B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0A1EB7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חדל חבר בית הדין, שלא מחמת יציאה לקיצבה, להיות עובד הרשות המקומית שבה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עבד כשנתמנה, או מלאו לו שבעים שנה, תיפסק כהונתו כחבר בית הדין; אולם רשאי הוא,</w:t>
                        </w:r>
                      </w:p>
                      <w:p w:rsidR="000A1EB7" w:rsidRPr="00460C9B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אב בית הדין, לסיים את הדיון בענין פלוני שהחל בו לפני הפסקת כהונתו.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0A1EB7" w:rsidRPr="00460C9B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הכהונה</w:t>
                        </w:r>
                      </w:p>
                    </w:tc>
                  </w:tr>
                  <w:tr w:rsidR="000A1EB7" w:rsidRPr="00460C9B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0A1EB7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עובד רשות מקומית שעשה אחת מאלה אשם בעבירת משמעת'.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עשה מעשה או התנהג באופן שפגע במשמעת עובדי הרשות המקומית: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קיים את המוטל עליו כעובד הרשות המקומית על פי חוק, תקנה,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נוהג, הוראה כללית או הוראה מיוחדת שניתנה לו כדין, או התרשל בקיום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עליו כאמור: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התנהג התנהגות שאינה הולמת את תפקידו כעובד הרשות המקומית או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התנהג התנהגות העלולה לפגוע בתדמיתה או כשמה הטוב של הרשות המקומית: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התנהג התנהגות בלתי הוגנת במילוי תפקידו או בקשר אתו: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השיג את מינויו כעובד הרשות המקומית במסירת ידיעה כוזבת או בהע-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 עובדה הנוגעת לענין, או בשימוש באיומים או בכוח או באמצעים פסולים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אחרים?</w:t>
                        </w:r>
                      </w:p>
                      <w:p w:rsidR="000A1EB7" w:rsidRPr="00460C9B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הורשע על עבירה שיש עמה קלון.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0A1EB7" w:rsidRPr="00460C9B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משמעת</w:t>
                        </w:r>
                      </w:p>
                    </w:tc>
                  </w:tr>
                  <w:tr w:rsidR="000A1EB7" w:rsidRPr="00460C9B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0A1EB7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.ראש רשות מקומית ימנה אדם לקבלת קובלנות ולהגשת תובענות לבית הדין נגד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אותה רשות מקומית הנאשמים כביצוע עכירות משמעת לפי חוק זה (להלן -- תובע);</w:t>
                        </w:r>
                      </w:p>
                      <w:p w:rsidR="000A1EB7" w:rsidRPr="00460C9B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 יכול שיהא כללי או לצורך ענין מסויים.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0A1EB7" w:rsidRPr="00460C9B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תובע</w:t>
                        </w:r>
                      </w:p>
                    </w:tc>
                  </w:tr>
                  <w:tr w:rsidR="000A1EB7" w:rsidRPr="00460C9B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0A1EB7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ראש רשות מקומית או מי שהוא הסמיך לכך או היועץ המשפטי לממשלה רשאים</w:t>
                        </w:r>
                      </w:p>
                      <w:p w:rsidR="000A1EB7" w:rsidRPr="00460C9B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לתובע קובלנה על עבירת משמעת שעבר עובד הרשות המקומית.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0A1EB7" w:rsidRPr="00460C9B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קובלנה</w:t>
                        </w:r>
                      </w:p>
                    </w:tc>
                  </w:tr>
                  <w:tr w:rsidR="000A1EB7" w:rsidRPr="00460C9B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0A1EB7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ראש רשות מקומית רשאי למנות לענין חוק זה חוקרים שיפעלו לפי הוראות התובע?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 יכול שיהא כללי או לצורך ענין מסויים; לא נתן התובע לחוקר הוראה לענין פלוני,</w:t>
                        </w:r>
                      </w:p>
                      <w:p w:rsidR="000A1EB7" w:rsidRPr="00460C9B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ראש הרשות המקומית לתיתה.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0A1EB7" w:rsidRPr="00460C9B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חוקרים</w:t>
                        </w:r>
                      </w:p>
                    </w:tc>
                  </w:tr>
                  <w:tr w:rsidR="000A1EB7" w:rsidRPr="00460C9B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0A1EB7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בענינים שהם בסמכות של בית הדין יהיו לתובעים ולחוקרים הסמכויות שאפשר</w:t>
                        </w:r>
                      </w:p>
                      <w:p w:rsidR="000A1EB7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להעניקם לפי סעיף 2 לפקודת הפרוצידורה הפלילית (עדות) 1, וסעיף 3 לאותה פקודה יחול</w:t>
                        </w:r>
                      </w:p>
                      <w:p w:rsidR="000A1EB7" w:rsidRPr="00460C9B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חקירות של תובעים או חוקרים מכוח סמכויות אלה, בשינויים המחוייבים לפי הענין.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0A1EB7" w:rsidRPr="00460C9B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חקירה</w:t>
                        </w:r>
                      </w:p>
                    </w:tc>
                  </w:tr>
                  <w:tr w:rsidR="000A1EB7" w:rsidRPr="00460C9B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0A1EB7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ראה התובע שיש בקובלנה ובחומר החקירה ראיות מספיקות לכאורה לאישום עובד</w:t>
                        </w:r>
                      </w:p>
                      <w:p w:rsidR="000A1EB7" w:rsidRPr="00460C9B" w:rsidRDefault="000A1E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בעבירת משמעת, רשאי הוא להגיש נגדו תובענה לבית הדין? החליט התובע</w:t>
                        </w:r>
                      </w:p>
                    </w:tc>
                    <w:tc>
                      <w:tcPr>
                        <w:tcW w:w="648" w:type="pct"/>
                      </w:tcPr>
                      <w:p w:rsidR="000A1EB7" w:rsidRPr="00460C9B" w:rsidRDefault="000A1E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תובענה</w:t>
                        </w:r>
                      </w:p>
                    </w:tc>
                  </w:tr>
                </w:tbl>
                <w:p w:rsidR="000A1EB7" w:rsidRDefault="000A1E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16C0D" w:rsidRDefault="00F16C0D">
      <w:pPr>
        <w:rPr>
          <w:rtl/>
        </w:rPr>
      </w:pPr>
      <w:r>
        <w:rPr>
          <w:rtl/>
        </w:rPr>
        <w:br w:type="page"/>
      </w:r>
    </w:p>
    <w:p w:rsidR="00F16C0D" w:rsidRDefault="00000000">
      <w:pPr>
        <w:rPr>
          <w:rtl/>
        </w:rPr>
      </w:pPr>
      <w:r>
        <w:pict>
          <v:shape id="_x0000_s2306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065" inset="0,0,0,0">
              <w:txbxContent>
                <w:p w:rsidR="000A1EB7" w:rsidRDefault="000A1EB7">
                  <w:r>
                    <w:rPr>
                      <w:rtl/>
                    </w:rPr>
                    <w:t>155                                          ספר החוקים 902                  ט"ז בתמוז התשל"ח 21.07.1978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66" o:spid="_x0000_s1033" type="#_x0000_t202" style="position:absolute;left:0;text-align:left;margin-left:370.2pt;margin-top:694.8pt;width:175.65pt;height:50.3pt;z-index:9;mso-position-horizontal-relative:page;mso-position-vertical-relative:page" stroked="f">
            <v:textbox style="mso-next-textbox:#_x0000_s23066" inset="0,0,0,0">
              <w:txbxContent>
                <w:p w:rsidR="000A1EB7" w:rsidRPr="00F16C0D" w:rsidRDefault="000A1EB7">
                  <w:pPr>
                    <w:pStyle w:val="OCRStyle3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ס''ח תשכ"ט,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67" o:spid="_x0000_s1034" type="#_x0000_t202" style="position:absolute;left:0;text-align:left;margin-left:87.45pt;margin-top:63.75pt;width:460.95pt;height:621.5pt;z-index:8;mso-position-horizontal-relative:page;mso-position-vertical-relative:page" stroked="f">
            <v:textbox style="mso-next-textbox:#_x0000_s230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113"/>
                  </w:tblGrid>
                  <w:tr w:rsidR="000A1EB7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0A1EB7" w:rsidRDefault="000A1E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סמכות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ראש רשות</w:t>
                        </w:r>
                      </w:p>
                      <w:p w:rsidR="000A1EB7" w:rsidRPr="00F16C0D" w:rsidRDefault="000A1E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להעמיד את העובד לדין רשאי היועץ המשפטי לממשלה או מי שהוא הסמיך לכך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.לחייבו לעשות כן.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אין בהוראות סעיפים 10 עד 14 כדי למנוע ראש רשות מקומית מלהתרות או לנזוף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בעובד על מעשה או מחדל שיש בו משום עבירת משמעת; התראה או נזיפה כאמור לא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 כאמצעי משמעת לענין סעיף 19.</w:t>
                        </w:r>
                      </w:p>
                    </w:tc>
                  </w:tr>
                  <w:tr w:rsidR="000A1EB7" w:rsidRPr="00F16C0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0A1EB7" w:rsidRDefault="000A1E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הוראות</w:t>
                        </w:r>
                      </w:p>
                      <w:p w:rsidR="000A1EB7" w:rsidRPr="00F16C0D" w:rsidRDefault="000A1E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ועדות חקירה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0A1EB7" w:rsidRDefault="000A1E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בכפוף לאמור בסעיף 22 יהיו לבתי הדין כל הסמכויות הנתונות לועדות חקירה לפי</w:t>
                        </w:r>
                      </w:p>
                      <w:p w:rsidR="000A1EB7" w:rsidRPr="00F16C0D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8 עד 11 ו-27(ב) לחוק ועדות חקירה, תשכ"ט-.21968</w:t>
                        </w:r>
                      </w:p>
                    </w:tc>
                  </w:tr>
                  <w:tr w:rsidR="000A1EB7" w:rsidRPr="00F16C0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0A1EB7" w:rsidRPr="00F16C0D" w:rsidRDefault="000A1E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 משמעת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0A1EB7" w:rsidRDefault="000A1E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בית דין מוסמך להחליט על אחד או אחדים מאמצעי משמעת אלה: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התראה: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שלילת זכויות הוותק, כולן או מקצתן, הכל לתקופה שיקבע: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הורדה כדתה או הקפאתה, במידה ולתקופה שיקבע?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הפקעת משכורת עד החלק הששי ממנה לתקופה שלא תעלה על ששה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חדשים;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העברה - בתיאום עם ראש הרשות המקומית - למשרה אחרת, בהגבלת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או ללא הגבלה: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פסילה, לאחר העברה כאמור בפסקה (6), למילוי תפקידים מסויימים,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ולתקופה שיקבע?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פיטורים בתשלום פיצויי פיטורים, כולם או מקצתם, או ללא תשלום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פיטורים: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פסילה, לאחר פיטורים או פרישת העובד מעבודתו כרשות המקומית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אחרת, למילוי תפקידים מסויימים ברשות המקומית או בכלל הרשויות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המקומיות, לצמיתות או לתקופה שיקבע?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פסילה, לאחר פיטורים או פרישת העובד מעבודתו ברשות המקומית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כדרך אחרת, לעבודה ברשות המקומית או ככלל הרשויות המקומיות, לצמיתות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לתקופה שיקבע: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כצירוף לאמצעי משמעת אחר - פרסום החלטת בית הדין, כולה או</w:t>
                        </w:r>
                      </w:p>
                      <w:p w:rsidR="000A1EB7" w:rsidRPr="00F16C0D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באופן שיקבע בית הדין.</w:t>
                        </w:r>
                      </w:p>
                    </w:tc>
                  </w:tr>
                  <w:tr w:rsidR="000A1EB7" w:rsidRPr="00F16C0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0A1EB7" w:rsidRPr="00F16C0D" w:rsidRDefault="000A1E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פיטורים טל תנאי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0A1EB7" w:rsidRDefault="000A1E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החליט בית הדין לפטר עובד, רשאי הוא להורות בגזר הדין שהפיטורים יהיו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תנאי: מי שנידון לפיטורים על תנאי לא ישא את ענשו אלא אם עבר - תוך תקופה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בגזר דינו ואשר לא תפחת משנה ולא תעלה על שלוש שנים (להלן ~ תקופת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התנאי) - אחת מעבירות המשמעת שנקבעו בגזר הדין והורשע בשל עבירה כזאת (להלן -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נוספת) תוך תקופת התנאי או לאחריה.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התנאי תתחיל מיום מתן גזר הדין זולת אם הורה בית הדין אחרת.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קביעת העבירה הנוספת לפי סעיף קטן (א) יכול שתהיה בציון עבירה לפי סעיף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או כציון סוג של מעשים או מחדלים או בפירוט מעשים או מחדלים מסויימים.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הטיל בית הדין עונש של פיטורים על תנאי, רשאי הוא בנוסף על כך להטיל על</w:t>
                        </w:r>
                      </w:p>
                      <w:p w:rsidR="000A1EB7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גם אחד או אחדים מאמצעי המשמעת המפורטים בסעיף 17 (1) עד (7) ולפרסם את</w:t>
                        </w:r>
                      </w:p>
                      <w:p w:rsidR="000A1EB7" w:rsidRPr="00F16C0D" w:rsidRDefault="000A1E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כאמור בסעיף 17(11).</w:t>
                        </w:r>
                      </w:p>
                    </w:tc>
                  </w:tr>
                </w:tbl>
                <w:p w:rsidR="000A1EB7" w:rsidRDefault="000A1EB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82DE1" w:rsidRDefault="00C82DE1">
      <w:pPr>
        <w:rPr>
          <w:rtl/>
        </w:rPr>
      </w:pPr>
      <w:r>
        <w:rPr>
          <w:rtl/>
        </w:rPr>
        <w:br w:type="page"/>
      </w:r>
    </w:p>
    <w:p w:rsidR="00C82DE1" w:rsidRDefault="00000000">
      <w:pPr>
        <w:rPr>
          <w:rtl/>
        </w:rPr>
      </w:pPr>
      <w:r>
        <w:pict>
          <v:shape id="_x0000_s2306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3068" inset="0,0,0,0">
              <w:txbxContent>
                <w:p w:rsidR="000A1EB7" w:rsidRDefault="000A1EB7">
                  <w:r>
                    <w:rPr>
                      <w:rtl/>
                    </w:rPr>
                    <w:t>156                                          ספר החוקים 902                  ט"ז בתמוז התשל"ח 21.07.1978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69" o:spid="_x0000_s1036" type="#_x0000_t202" style="position:absolute;left:0;text-align:left;margin-left:96.75pt;margin-top:689.6pt;width:387.5pt;height:61.2pt;z-index:12;mso-position-horizontal-relative:page;mso-position-vertical-relative:page" stroked="f">
            <v:textbox style="mso-next-textbox:#_x0000_s23069" inset="0,0,0,0">
              <w:txbxContent>
                <w:p w:rsidR="000A1EB7" w:rsidRPr="00C82DE1" w:rsidRDefault="000A1EB7">
                  <w:pPr>
                    <w:pStyle w:val="OCRStyle4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תשכ"ג,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70" o:spid="_x0000_s1037" type="#_x0000_t202" style="position:absolute;left:0;text-align:left;margin-left:93.4pt;margin-top:68.1pt;width:459.55pt;height:615.6pt;z-index:11;mso-position-horizontal-relative:page;mso-position-vertical-relative:page" stroked="f">
            <v:textbox style="mso-next-textbox:#_x0000_s2307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232"/>
                  </w:tblGrid>
                  <w:tr w:rsidR="000A1EB7" w:rsidRPr="00C82DE1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לא ינקטו נגד עובד רשות מקומית אמצעי משמעת על עבירת משמעת אחת יותר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מפעם אחת,</w:t>
                        </w:r>
                      </w:p>
                    </w:tc>
                    <w:tc>
                      <w:tcPr>
                        <w:tcW w:w="737" w:type="pct"/>
                      </w:tcPr>
                      <w:p w:rsidR="000A1EB7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מענישים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פעמיים על עבירה</w:t>
                        </w:r>
                      </w:p>
                      <w:p w:rsidR="000A1EB7" w:rsidRPr="00C82DE1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אחת</w:t>
                        </w:r>
                      </w:p>
                    </w:tc>
                  </w:tr>
                  <w:tr w:rsidR="000A1EB7" w:rsidRPr="00C82DE1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0A1EB7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בכפוף להוראות חוק זה יחולו הוראות חוק שירות המדינה (משמעת), תשכ"ג-31963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המשמעת), למעט סעיפים 19 עד 30, על עובדי הרשויות המקומיות, על חברי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הדין ועל ההליכים בבתי הדין, וסמכויות בתי הדין יהיו בסמכויות בית הדין למשמעת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המשמעת, הכל בשינויים ובתיאומים שיקבע שר הפנים באישור ועדת הפנים ואיכות</w:t>
                        </w:r>
                      </w:p>
                      <w:p w:rsidR="000A1EB7" w:rsidRPr="00C82DE1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 של הכנסת.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0A1EB7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הוראות חוק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המדינה</w:t>
                        </w:r>
                      </w:p>
                      <w:p w:rsidR="000A1EB7" w:rsidRPr="00C82DE1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(משמעת)</w:t>
                        </w:r>
                      </w:p>
                    </w:tc>
                  </w:tr>
                  <w:tr w:rsidR="000A1EB7" w:rsidRPr="00C82DE1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0A1EB7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הוצאות החזקתו וניהולו של בית דין מקומי ייכללו בתקציב הרשות המקומית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הוקם בית הדין.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יקבע בתקנות את מקום מושבם וסדרי ניהולם והחזקתם של בתי הדין</w:t>
                        </w:r>
                      </w:p>
                      <w:p w:rsidR="000A1EB7" w:rsidRPr="00C82DE1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האזוריים וחלוקת ההוצאות הכרוכות בכך כין הרשויות האזוריות.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0A1EB7" w:rsidRPr="00C82DE1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</w:t>
                        </w:r>
                      </w:p>
                    </w:tc>
                  </w:tr>
                  <w:tr w:rsidR="000A1EB7" w:rsidRPr="00C82DE1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0A1EB7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שר המשפטים יקבע כתקנות את הליכי ההעמדה לדין לפני כתי הדין ואת סדרי הדין</w:t>
                        </w:r>
                      </w:p>
                      <w:p w:rsidR="000A1EB7" w:rsidRPr="00C82DE1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0A1EB7" w:rsidRPr="00C82DE1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</w:tc>
                  </w:tr>
                  <w:tr w:rsidR="000A1EB7" w:rsidRPr="00C82DE1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0A1EB7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אמצעי משמעת שהחליט עליו בית דין לא יבוצע אלא לאחר שנמסר לידי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העתק מאושר של ההחלטה ולאחר שחלפה תקופת הערעור; הוגש ערעור, לא תבוצע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אלא לאחר שנמסר לעובד העתק מאושר של פסק הדין כערעור.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בית דין לפטר עובד או להעבירו למשרה אחרת, רשאי הוא להורות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בהחלטתו על ביצוע מיידי אם ראה שחומרת העכירה מצדיקה זאת.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רשאי לקבוע בתקנות הוראות בדבר ביצוען של החלטות בתי הדין</w:t>
                        </w:r>
                      </w:p>
                      <w:p w:rsidR="000A1EB7" w:rsidRPr="00C82DE1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הרשויות הנוגעות כדבר.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0A1EB7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החלטות</w:t>
                        </w:r>
                      </w:p>
                      <w:p w:rsidR="000A1EB7" w:rsidRPr="00C82DE1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</w:tr>
                  <w:tr w:rsidR="000A1EB7" w:rsidRPr="00C82DE1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0A1EB7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פסק דין של בית יין ניתן לערעור של העובד ושל התובע, לפני שופט של בית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העליון, לא יאוחר מהיום השלושים לאחר שניתן פסק הדין, אם ניתן בפני המערער,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 שהומצא לו העתק ממנו, אם ניתן שלא כפניו.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בית הדין על ביצוע מיידי של פיטורים או על העברה מיידית למשרה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כאמור כסעיף 23(ב), רשאי שופט בית המשפט העליון, על פי בקשת העובד, לעכב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הביצוע עד להחלטה בערעור, ואם כבר פוטר העובד או הועבר כאמור לפי ההחלטה -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החזרה למשרתו: נתן השופט החלטה לפי סעיף זה, רשאי הוא גם לצוות על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השעיית העובד מתפקידו.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השופט לבטל החלטה כדבר פיטורי עובד או בדבר העברתו למשרה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יהיה הביטול, לכל דבר, בר תוקף למפרע מיום ביצוע הפיטורים או ההעברה.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בבואו להכריע בערעור רשאי השופט לעשות אחת מאלה: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לקבל את הערעור, כולו או מקצתו, ולשנות את פסק הדין או לבטלו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ולתת אחר כמקומו, או להחזיר את הדיון עם הוראות לבית הדין;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לדחות את הערעור;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ליתן בקשר לפסק הדין כל החלטה אחרת שבית הדין היה מוסמך לתיתה.</w:t>
                        </w:r>
                      </w:p>
                      <w:p w:rsidR="000A1EB7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השופט רשאי לדחות ערעור אף אם קיבל טענה שנטענה, אם היה סבור כי לא</w:t>
                        </w:r>
                      </w:p>
                      <w:p w:rsidR="000A1EB7" w:rsidRPr="00C82DE1" w:rsidRDefault="000A1E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נגרם עיוות דין.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0A1EB7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0A1EB7" w:rsidRPr="00C82DE1" w:rsidRDefault="000A1E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 הדין</w:t>
                        </w:r>
                      </w:p>
                    </w:tc>
                  </w:tr>
                </w:tbl>
                <w:p w:rsidR="000A1EB7" w:rsidRDefault="000A1EB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71A33" w:rsidRDefault="00171A33">
      <w:pPr>
        <w:rPr>
          <w:rtl/>
        </w:rPr>
      </w:pPr>
      <w:r>
        <w:rPr>
          <w:rtl/>
        </w:rPr>
        <w:br w:type="page"/>
      </w:r>
    </w:p>
    <w:p w:rsidR="00171A33" w:rsidRDefault="00000000">
      <w:pPr>
        <w:rPr>
          <w:rtl/>
        </w:rPr>
      </w:pPr>
      <w:r>
        <w:pict>
          <v:shape id="_x0000_s23071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3071" inset="0,0,0,0">
              <w:txbxContent>
                <w:p w:rsidR="000A1EB7" w:rsidRDefault="000A1EB7">
                  <w:r>
                    <w:rPr>
                      <w:rtl/>
                    </w:rPr>
                    <w:t>157                                          ספר החוקים 902                  ט"ז בתמוז התשל"ח 21.07.1978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72" o:spid="_x0000_s1039" type="#_x0000_t202" style="position:absolute;left:0;text-align:left;margin-left:364.3pt;margin-top:684.8pt;width:180pt;height:64.75pt;z-index:18;mso-position-horizontal-relative:page;mso-position-vertical-relative:page" stroked="f">
            <v:textbox style="mso-next-textbox:#_x0000_s23072" inset="0,0,0,0">
              <w:txbxContent>
                <w:p w:rsidR="000A1EB7" w:rsidRPr="00171A33" w:rsidRDefault="000A1EB7">
                  <w:pPr>
                    <w:pStyle w:val="OCRStyle5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דיני מדינת ישראל, נוסח חדש 8, עמ' 197.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73" o:spid="_x0000_s1040" type="#_x0000_t202" style="position:absolute;left:0;text-align:left;margin-left:183.55pt;margin-top:435.35pt;width:80.8pt;height:37.05pt;z-index:17;mso-position-horizontal-relative:page;mso-position-vertical-relative:page" stroked="f">
            <v:textbox style="mso-next-textbox:#_x0000_s23073" inset="0,0,0,0">
              <w:txbxContent>
                <w:p w:rsidR="000A1EB7" w:rsidRDefault="000A1EB7">
                  <w:pPr>
                    <w:pStyle w:val="OCRStyle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0A1EB7" w:rsidRDefault="000A1EB7">
                  <w:pPr>
                    <w:pStyle w:val="OCRStyle5"/>
                    <w:ind w:left="38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74" o:spid="_x0000_s1041" type="#_x0000_t202" style="position:absolute;left:0;text-align:left;margin-left:302.35pt;margin-top:430pt;width:82.55pt;height:41.4pt;z-index:16;mso-position-horizontal-relative:page;mso-position-vertical-relative:page" stroked="f">
            <v:textbox style="mso-next-textbox:#_x0000_s23074" inset="0,0,0,0">
              <w:txbxContent>
                <w:p w:rsidR="000A1EB7" w:rsidRDefault="000A1EB7">
                  <w:pPr>
                    <w:pStyle w:val="OCRStyle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A1EB7" w:rsidRDefault="000A1EB7">
                  <w:pPr>
                    <w:pStyle w:val="OCRStyle5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75" o:spid="_x0000_s1042" type="#_x0000_t202" style="position:absolute;left:0;text-align:left;margin-left:461.5pt;margin-top:460.3pt;width:76.65pt;height:37.05pt;z-index:15;mso-position-horizontal-relative:page;mso-position-vertical-relative:page" stroked="f">
            <v:textbox style="mso-next-textbox:#_x0000_s23075" inset="0,0,0,0">
              <w:txbxContent>
                <w:p w:rsidR="000A1EB7" w:rsidRDefault="000A1EB7">
                  <w:pPr>
                    <w:pStyle w:val="OCRStyle5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A1EB7" w:rsidRDefault="000A1EB7">
                  <w:pPr>
                    <w:pStyle w:val="OCRStyle5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76" o:spid="_x0000_s1043" type="#_x0000_t202" style="position:absolute;left:0;text-align:left;margin-left:91.45pt;margin-top:65.85pt;width:451.85pt;height:351.25pt;z-index:14;mso-position-horizontal-relative:page;mso-position-vertical-relative:page" stroked="f">
            <v:textbox style="mso-next-textbox:#_x0000_s2307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034"/>
                  </w:tblGrid>
                  <w:tr w:rsidR="000A1EB7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0A1EB7" w:rsidRDefault="000A1E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0A1EB7" w:rsidRPr="00171A33" w:rsidRDefault="000A1E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הערעור, הכרעת הדין וגזר הדין מהווים יחד את פסק הדין.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המשפטים רשאי לקבוע כתקנות את סדרי הדין כערעור וכן ככקשות לעיכוב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והחזרה למשרה לפי סעיף זה.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גא) בסעיף 171 לפקודת העיריות 4 -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המלים "ובאישור הממונה" - יימחקו: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אחרי "לפטרו" יבוא "שלא מחמת עבירת משמעת כמשמעותה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הרשויות המקומיות (משמעת), תשל"ח-1978":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(2) יבוא:. -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פי החלטת בית דין למשמעת לפי החוק האמור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(1)."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184 לפקודת העיריות, פסקה (2) - בטלה.</w:t>
                        </w:r>
                      </w:p>
                    </w:tc>
                  </w:tr>
                  <w:tr w:rsidR="000A1EB7" w:rsidRPr="00171A3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0A1EB7" w:rsidRPr="00171A33" w:rsidRDefault="000A1E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0A1EB7" w:rsidRDefault="000A1E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שר הפנים ממונה על ביצוע חוק זה והוא רשאי להתקין תקנות בכל ענין</w:t>
                        </w:r>
                      </w:p>
                      <w:p w:rsidR="000A1EB7" w:rsidRPr="00171A33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</w:tr>
                  <w:tr w:rsidR="000A1EB7" w:rsidRPr="00171A3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0A1EB7" w:rsidRPr="00171A33" w:rsidRDefault="000A1E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0A1EB7" w:rsidRPr="00171A33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תחילתו של חוק זה ששה חדשים מיום פרסומו.</w:t>
                        </w:r>
                      </w:p>
                    </w:tc>
                  </w:tr>
                  <w:tr w:rsidR="000A1EB7" w:rsidRPr="00171A3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0A1EB7" w:rsidRPr="00171A33" w:rsidRDefault="000A1E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0A1EB7" w:rsidRDefault="000A1E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חוק זה לא יחול על ביצוע החלטה סופית אשר לפני תחילתו ניתנה כבית דין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למשמעת של עובדי רשות מקומית שהיה קיים אותה שעה, והליכים שהיו תלויים ועומדים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בית-דין כאמור, ימשיכו בהם, ויבצעו החלטות שניתנו בהם, כאילו חוק זה לא נתקבל.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בכפוף לאמור בסעיף קטן (א) יחול חוק זה גם על עבירת משמעת שנעברה</w:t>
                        </w:r>
                      </w:p>
                      <w:p w:rsidR="000A1EB7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תחילתו, ובלבד שניתן היה להעמיד עובד לדין משמעתי בשל עבירה זו גם בשעת</w:t>
                        </w:r>
                      </w:p>
                      <w:p w:rsidR="000A1EB7" w:rsidRPr="00171A33" w:rsidRDefault="000A1E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ביצועה.</w:t>
                        </w:r>
                      </w:p>
                    </w:tc>
                  </w:tr>
                </w:tbl>
                <w:p w:rsidR="000A1EB7" w:rsidRDefault="000A1EB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A1EB7" w:rsidRDefault="000A1EB7">
      <w:pPr>
        <w:rPr>
          <w:rtl/>
        </w:rPr>
      </w:pPr>
      <w:r>
        <w:rPr>
          <w:rtl/>
        </w:rPr>
        <w:br w:type="page"/>
      </w:r>
    </w:p>
    <w:p w:rsidR="000A1EB7" w:rsidRDefault="00000000">
      <w:pPr>
        <w:rPr>
          <w:rtl/>
        </w:rPr>
      </w:pPr>
      <w:r>
        <w:pict>
          <v:shape id="_x0000_s23077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3077" inset="0,0,0,0">
              <w:txbxContent>
                <w:p w:rsidR="000A1EB7" w:rsidRDefault="000A1EB7">
                  <w:r>
                    <w:rPr>
                      <w:rtl/>
                    </w:rPr>
                    <w:t>158                                          ספר החוקים 902                  ט"ז בתמוז התשל"ח 21.07.1978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78" o:spid="_x0000_s1045" type="#_x0000_t202" style="position:absolute;left:0;text-align:left;margin-left:94.9pt;margin-top:712.3pt;width:137.8pt;height:42.15pt;z-index:20;mso-position-horizontal-relative:page;mso-position-vertical-relative:page" stroked="f">
            <v:textbox style="mso-next-textbox:#_x0000_s23078" inset="0,0,0,0">
              <w:txbxContent>
                <w:p w:rsidR="000A1EB7" w:rsidRDefault="000A1EB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62F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D65F8E-BD90-4B3F-BD0C-3E4B3130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62F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60C9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16C0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82DE1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171A33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A1EB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2008-04-06T23:40:00Z</dcterms:created>
  <dcterms:modified xsi:type="dcterms:W3CDTF">2008-04-06T23:41:00Z</dcterms:modified>
</cp:coreProperties>
</file>