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1514" w:rsidRDefault="00961514">
      <w:pPr>
        <w:rPr>
          <w:rtl/>
        </w:rPr>
      </w:pPr>
    </w:p>
    <w:p w:rsidR="009615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1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151" inset="0,0,0,0">
              <w:txbxContent>
                <w:p w:rsidR="00EF760D" w:rsidRDefault="00EF760D">
                  <w:r>
                    <w:rPr>
                      <w:rtl/>
                    </w:rPr>
                    <w:t>82                                           ספר החוקים 278                   א' בניסן התשי"ט 09.04.1959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52" o:spid="_x0000_s1026" type="#_x0000_t202" style="position:absolute;left:0;text-align:left;margin-left:81.5pt;margin-top:665pt;width:398.55pt;height:83.95pt;z-index:3;mso-position-horizontal-relative:page;mso-position-vertical-relative:page" stroked="f">
            <v:textbox style="mso-next-textbox:#_x0000_s23152" inset="0,0,0,0">
              <w:txbxContent>
                <w:p w:rsidR="00EF760D" w:rsidRDefault="00EF760D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ב' תשי''ט (1 באפריל 1959); הצעת החוק ודברי הסבר נתפרסמו בהית 369, תשייט*</w:t>
                  </w:r>
                </w:p>
                <w:p w:rsidR="00EF760D" w:rsidRDefault="00EF760D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124.</w:t>
                  </w:r>
                </w:p>
                <w:p w:rsidR="00EF760D" w:rsidRDefault="00EF760D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581, תשט"ז, עמ' 472; ק"ת 632, תשט"ז, עמ' 1187; ק"ת 778, תשי"ח, עמ' 872.</w:t>
                  </w:r>
                </w:p>
                <w:p w:rsidR="00EF760D" w:rsidRPr="00961514" w:rsidRDefault="00EF760D">
                  <w:pPr>
                    <w:pStyle w:val="OCRStyle1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ב', פרק קל"ג, עמ' 1302; ס"ח 21, תש"ט, עמ' 171; ס"ח 106, תשי"ד,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53" o:spid="_x0000_s1027" type="#_x0000_t202" style="position:absolute;left:0;text-align:left;margin-left:94pt;margin-top:447pt;width:468.45pt;height:218pt;z-index:2;mso-position-horizontal-relative:page;mso-position-vertical-relative:page" stroked="f">
            <v:textbox style="mso-next-textbox:#_x0000_s2315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6"/>
                    <w:gridCol w:w="1291"/>
                  </w:tblGrid>
                  <w:tr w:rsidR="00EF760D" w:rsidRPr="0096151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EF760D" w:rsidRDefault="00EF760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EF760D" w:rsidRDefault="00EF76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מקומית;</w:t>
                        </w:r>
                      </w:p>
                      <w:p w:rsidR="00EF760D" w:rsidRDefault="00EF76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"אגרת העברת מקרקעין" -</w:t>
                        </w:r>
                      </w:p>
                      <w:p w:rsidR="00EF760D" w:rsidRDefault="00EF76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אגרה לפי הפרטים 1, 3,2(א) ו-(ב), 5, 6 ,8 (א) ו-16 לתוספת לתקנות</w:t>
                        </w:r>
                      </w:p>
                      <w:p w:rsidR="00EF760D" w:rsidRDefault="00EF76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מקרקעין (אגרות), תשט"ז-1956 1 ;</w:t>
                        </w:r>
                      </w:p>
                      <w:p w:rsidR="00EF760D" w:rsidRDefault="00EF76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מם בולים המשתלם לפי הקטע האחרון של פרט 23, לפי פרט 32 (3ב) או</w:t>
                        </w:r>
                      </w:p>
                      <w:p w:rsidR="00EF760D" w:rsidRPr="00961514" w:rsidRDefault="00EF76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פרט 37 (ג) לפקודת מס הבולים 2.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F760D" w:rsidRPr="00961514" w:rsidRDefault="00EF76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EF760D" w:rsidRPr="0096151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EF760D" w:rsidRDefault="00EF76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החייב בתשלום אגרת העברת מקרקעין ישלם ביחד עם האגרה האמורה תוספת אגרה</w:t>
                        </w:r>
                      </w:p>
                      <w:p w:rsidR="00EF760D" w:rsidRDefault="00EF76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הרשויות המקומיות בשיעור של מחצית אגרת העברת המקרקעין שהוא משלם כאמור</w:t>
                        </w:r>
                      </w:p>
                      <w:p w:rsidR="00EF760D" w:rsidRPr="00961514" w:rsidRDefault="00EF76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תוספת אגרה).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F760D" w:rsidRDefault="00EF76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</w:t>
                        </w:r>
                      </w:p>
                      <w:p w:rsidR="00EF760D" w:rsidRPr="00961514" w:rsidRDefault="00EF76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אגרת</w:t>
                        </w:r>
                      </w:p>
                    </w:tc>
                  </w:tr>
                  <w:tr w:rsidR="00EF760D" w:rsidRPr="00961514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EF760D" w:rsidRDefault="00EF76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דין תוספת האגרה לכל דבר כדין אגרת העברת המקרקעין שעליה היא משתלמת</w:t>
                        </w:r>
                      </w:p>
                      <w:p w:rsidR="00EF760D" w:rsidRPr="00961514" w:rsidRDefault="00EF76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הוראה אחרת בחוק זה.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F760D" w:rsidRDefault="00EF76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תוספת</w:t>
                        </w:r>
                      </w:p>
                      <w:p w:rsidR="00EF760D" w:rsidRPr="00961514" w:rsidRDefault="00EF76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האגרה</w:t>
                        </w:r>
                      </w:p>
                    </w:tc>
                  </w:tr>
                </w:tbl>
                <w:p w:rsidR="00EF760D" w:rsidRDefault="00EF76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54" o:spid="_x0000_s1028" type="#_x0000_t202" style="position:absolute;left:0;text-align:left;margin-left:114.8pt;margin-top:421.25pt;width:353.65pt;height:23.35pt;z-index:1;mso-position-horizontal-relative:page;mso-position-vertical-relative:page" stroked="f">
            <v:textbox style="mso-next-textbox:#_x0000_s23154" inset="0,0,0,0">
              <w:txbxContent>
                <w:p w:rsidR="00EF760D" w:rsidRPr="00961514" w:rsidRDefault="00EF760D">
                  <w:pPr>
                    <w:pStyle w:val="OCRStyle1"/>
                    <w:ind w:left="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(אגרת העברת מקרקעין), תשי"ט-1959*</w:t>
                  </w:r>
                </w:p>
              </w:txbxContent>
            </v:textbox>
            <w10:wrap anchorx="page" anchory="page"/>
          </v:shape>
        </w:pict>
      </w:r>
    </w:p>
    <w:p w:rsidR="00EF760D" w:rsidRDefault="00EF760D">
      <w:pPr>
        <w:rPr>
          <w:rtl/>
        </w:rPr>
      </w:pPr>
      <w:r>
        <w:rPr>
          <w:rtl/>
        </w:rPr>
        <w:br w:type="page"/>
      </w:r>
    </w:p>
    <w:p w:rsidR="00EF760D" w:rsidRDefault="00000000">
      <w:pPr>
        <w:rPr>
          <w:rtl/>
        </w:rPr>
      </w:pPr>
      <w:r>
        <w:pict>
          <v:shape id="_x0000_s2315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155" inset="0,0,0,0">
              <w:txbxContent>
                <w:p w:rsidR="00EF760D" w:rsidRDefault="00EF760D">
                  <w:r>
                    <w:rPr>
                      <w:rtl/>
                    </w:rPr>
                    <w:t>83                                           ספר החוקים 278                   א' בניסן התשי"ט 09.04.1959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56" o:spid="_x0000_s1030" type="#_x0000_t202" style="position:absolute;left:0;text-align:left;margin-left:438.9pt;margin-top:387.55pt;width:115.65pt;height:20.8pt;z-index:9;mso-position-horizontal-relative:page;mso-position-vertical-relative:page" stroked="f">
            <v:textbox style="mso-next-textbox:#_x0000_s23156" inset="0,0,0,0">
              <w:txbxContent>
                <w:p w:rsidR="00EF760D" w:rsidRPr="00EF760D" w:rsidRDefault="00EF760D">
                  <w:pPr>
                    <w:pStyle w:val="OCRStyle2"/>
                    <w:ind w:left="446"/>
                  </w:pPr>
                  <w:r>
                    <w:rPr>
                      <w:rtl/>
                    </w:rPr>
                    <w:t>8 ס"ח 58, תש"י, עמ' 309.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57" o:spid="_x0000_s1031" type="#_x0000_t202" style="position:absolute;left:0;text-align:left;margin-left:161.9pt;margin-top:316.1pt;width:128.9pt;height:29.1pt;z-index:8;mso-position-horizontal-relative:page;mso-position-vertical-relative:page" stroked="f">
            <v:textbox style="mso-next-textbox:#_x0000_s23157" inset="0,0,0,0">
              <w:txbxContent>
                <w:p w:rsidR="00EF760D" w:rsidRDefault="00EF760D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EF760D" w:rsidRDefault="00EF760D">
                  <w:pPr>
                    <w:pStyle w:val="OCRStyle2"/>
                    <w:ind w:left="78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58" o:spid="_x0000_s1032" type="#_x0000_t202" style="position:absolute;left:0;text-align:left;margin-left:448.2pt;margin-top:342.65pt;width:98pt;height:29.9pt;z-index:7;mso-position-horizontal-relative:page;mso-position-vertical-relative:page" stroked="f">
            <v:textbox style="mso-next-textbox:#_x0000_s23158" inset="0,0,0,0">
              <w:txbxContent>
                <w:p w:rsidR="00EF760D" w:rsidRDefault="00EF760D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נן-צני</w:t>
                  </w:r>
                </w:p>
                <w:p w:rsidR="00EF760D" w:rsidRDefault="00EF760D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59" o:spid="_x0000_s1033" type="#_x0000_t202" style="position:absolute;left:0;text-align:left;margin-left:308.4pt;margin-top:316.9pt;width:102.15pt;height:25.75pt;z-index:6;mso-position-horizontal-relative:page;mso-position-vertical-relative:page" stroked="f">
            <v:textbox style="mso-next-textbox:#_x0000_s23159" inset="0,0,0,0">
              <w:txbxContent>
                <w:p w:rsidR="00EF760D" w:rsidRDefault="00EF760D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F760D" w:rsidRDefault="00EF760D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60" o:spid="_x0000_s1034" type="#_x0000_t202" style="position:absolute;left:0;text-align:left;margin-left:96.15pt;margin-top:75.55pt;width:460.15pt;height:228.9pt;z-index:5;mso-position-horizontal-relative:page;mso-position-vertical-relative:page" stroked="f">
            <v:textbox style="mso-next-textbox:#_x0000_s2316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0"/>
                    <w:gridCol w:w="7166"/>
                  </w:tblGrid>
                  <w:tr w:rsidR="00EF760D" w:rsidRPr="00EF760D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תשלוט לרשות</w:t>
                        </w:r>
                      </w:p>
                      <w:p w:rsidR="00EF760D" w:rsidRP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תוספת האגרה שגבה האוצר תשולם לרשות המקומית שבתחומה נמצאים המקרקעין</w:t>
                        </w:r>
                      </w:p>
                      <w:p w:rsidR="00EF760D" w:rsidRP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שעליהם משתלמת אגרת ההעברה' ובאין רשות מקומית כזאת - כפי שייקבע בתקנות.</w:t>
                        </w:r>
                      </w:p>
                    </w:tc>
                  </w:tr>
                  <w:tr w:rsidR="00EF760D" w:rsidRPr="00EF760D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חלוקה בין מספר</w:t>
                        </w:r>
                      </w:p>
                      <w:p w:rsidR="00EF760D" w:rsidRP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היו המקרקעין שעליהם שולמה תוספת אגרה בתהומן של מספר רשויות מקומיות.</w:t>
                        </w:r>
                      </w:p>
                      <w:p w:rsid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תחולק התוספת בין אותן הרשויות, לכל אחת לפי שווי המקרקעין שבתחומה; היה חלק</w:t>
                        </w:r>
                      </w:p>
                      <w:p w:rsid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מהמקרקעין מחוץ לתחומה של כל רשות מקומית - יהא החלק היחסי של התוספת החל על</w:t>
                        </w:r>
                      </w:p>
                      <w:p w:rsidR="00EF760D" w:rsidRP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המקרקעין משתלם כפי שייקבע בתקנות.</w:t>
                        </w:r>
                      </w:p>
                    </w:tc>
                  </w:tr>
                  <w:tr w:rsidR="00EF760D" w:rsidRPr="00EF760D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 של מכתב</w:t>
                        </w:r>
                      </w:p>
                      <w:p w:rsidR="00EF760D" w:rsidRP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הקצאה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מס בולים על מכתב הקצאת מניות החייב בתוספת אגרה ישולם דרך הטבעה על אף</w:t>
                        </w:r>
                      </w:p>
                      <w:p w:rsidR="00EF760D" w:rsidRP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בפקודת מס הבולים.</w:t>
                        </w:r>
                      </w:p>
                    </w:tc>
                  </w:tr>
                  <w:tr w:rsidR="00EF760D" w:rsidRPr="00EF760D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F760D" w:rsidRP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EF760D" w:rsidRP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חוק הרשויות המקומיות (אגרת העברת מקרקעים), תש"י-31950 - בטל.</w:t>
                        </w:r>
                      </w:p>
                    </w:tc>
                  </w:tr>
                  <w:tr w:rsidR="00EF760D" w:rsidRPr="00EF760D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F760D" w:rsidRP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הפנים ממונה על ביצוע חוק זה והוא רשאי, בהסכמת שר האוצר, להתקין תקנות</w:t>
                        </w:r>
                      </w:p>
                      <w:p w:rsidR="00EF760D" w:rsidRP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לביצועו.</w:t>
                        </w:r>
                      </w:p>
                    </w:tc>
                  </w:tr>
                  <w:tr w:rsidR="00EF760D" w:rsidRPr="00EF760D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EF760D" w:rsidRP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EF760D" w:rsidRPr="00EF760D" w:rsidRDefault="00EF76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תחילתו של חוק זה היא בתים שלושים יום מיום קבלתו בכנסת.</w:t>
                        </w:r>
                      </w:p>
                    </w:tc>
                  </w:tr>
                </w:tbl>
                <w:p w:rsidR="00EF760D" w:rsidRDefault="00EF76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615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ED79C3-5B7D-4CFE-BF0D-86F3FBC3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151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F760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2008-04-06T19:19:00Z</dcterms:created>
  <dcterms:modified xsi:type="dcterms:W3CDTF">2008-04-06T19:19:00Z</dcterms:modified>
</cp:coreProperties>
</file>