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A2193" w:rsidRDefault="004A2193">
      <w:pPr>
        <w:rPr>
          <w:rtl/>
        </w:rPr>
      </w:pPr>
    </w:p>
    <w:p w:rsidR="004A219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18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3186" inset="0,0,0,0">
              <w:txbxContent>
                <w:p w:rsidR="004A2193" w:rsidRDefault="004A2193">
                  <w:r>
                    <w:rPr>
                      <w:rtl/>
                    </w:rPr>
                    <w:t>178                                         ספר החוקים 1055                     ז' באב התשמ"ב 27.07.1982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87" o:spid="_x0000_s1026" type="#_x0000_t202" style="position:absolute;left:0;text-align:left;margin-left:88.15pt;margin-top:713.95pt;width:166.1pt;height:31.9pt;z-index:7;mso-wrap-style:none;mso-position-horizontal-relative:page;mso-position-vertical-relative:page" stroked="f">
            <v:textbox style="mso-next-textbox:#_x0000_s23187" inset="0,0,0,0">
              <w:txbxContent>
                <w:p w:rsidR="004A2193" w:rsidRDefault="004A2193">
                  <w:pPr>
                    <w:pStyle w:val="OCRStyle1"/>
                    <w:ind w:left="10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סטר החוקים 1055, ז' באב התשמ"ב, 27.7.1982</w:t>
                  </w:r>
                </w:p>
                <w:p w:rsidR="004A2193" w:rsidRPr="004A2193" w:rsidRDefault="004A2193">
                  <w:pPr>
                    <w:pStyle w:val="OCRStyle1"/>
                    <w:ind w:left="630"/>
                  </w:pPr>
                  <w:r>
                    <w:rPr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88" o:spid="_x0000_s1027" type="#_x0000_t202" style="position:absolute;left:0;text-align:left;margin-left:88.95pt;margin-top:654.55pt;width:390.05pt;height:54.25pt;z-index:6;mso-wrap-style:none;mso-position-horizontal-relative:page;mso-position-vertical-relative:page" stroked="f">
            <v:textbox style="mso-next-textbox:#_x0000_s23188" inset="0,0,0,0">
              <w:txbxContent>
                <w:p w:rsidR="004A2193" w:rsidRDefault="004A2193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בתמוז התשמ"ב (19 ביולי 1982); הצעת החוק ודברי הסבר סורסמו בה"ח .1579,</w:t>
                  </w:r>
                </w:p>
                <w:p w:rsidR="004A2193" w:rsidRDefault="004A2193">
                  <w:pPr>
                    <w:pStyle w:val="OCRStyle1"/>
                    <w:ind w:left="3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התשמ"ב, עמ' 194.</w:t>
                  </w:r>
                </w:p>
                <w:p w:rsidR="004A2193" w:rsidRDefault="004A2193">
                  <w:pPr>
                    <w:pStyle w:val="OCRStyle1"/>
                    <w:ind w:left="14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התשי"ג, עמ' 62; התשכ"ד, עמ' 80.</w:t>
                  </w:r>
                </w:p>
                <w:p w:rsidR="004A2193" w:rsidRPr="004A2193" w:rsidRDefault="004A2193">
                  <w:pPr>
                    <w:pStyle w:val="OCRStyle1"/>
                    <w:ind w:left="12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התשי"ט, עמ' .286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89" o:spid="_x0000_s1028" type="#_x0000_t202" style="position:absolute;left:0;text-align:left;margin-left:114.7pt;margin-top:578.9pt;width:81pt;height:38.6pt;z-index:5;mso-wrap-style:none;mso-position-horizontal-relative:page;mso-position-vertical-relative:page" stroked="f">
            <v:textbox style="mso-next-textbox:#_x0000_s23189" inset="0,0,0,0">
              <w:txbxContent>
                <w:p w:rsidR="004A2193" w:rsidRDefault="004A2193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4A2193" w:rsidRDefault="004A2193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90" o:spid="_x0000_s1029" type="#_x0000_t202" style="position:absolute;left:0;text-align:left;margin-left:251.7pt;margin-top:584.85pt;width:92.05pt;height:31.1pt;z-index:4;mso-wrap-style:none;mso-position-horizontal-relative:page;mso-position-vertical-relative:page" stroked="f">
            <v:textbox style="mso-next-textbox:#_x0000_s23190" inset="0,0,0,0">
              <w:txbxContent>
                <w:p w:rsidR="004A2193" w:rsidRDefault="004A2193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4A2193" w:rsidRDefault="004A2193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91" o:spid="_x0000_s1030" type="#_x0000_t202" style="position:absolute;left:0;text-align:left;margin-left:393.65pt;margin-top:607.25pt;width:80pt;height:33.65pt;z-index:3;mso-wrap-style:none;mso-position-horizontal-relative:page;mso-position-vertical-relative:page" stroked="f">
            <v:textbox style="mso-next-textbox:#_x0000_s23191" inset="0,0,0,0">
              <w:txbxContent>
                <w:p w:rsidR="004A2193" w:rsidRDefault="004A2193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4A2193" w:rsidRDefault="004A2193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192" o:spid="_x0000_s1031" type="#_x0000_t202" style="position:absolute;left:0;text-align:left;margin-left:92.3pt;margin-top:472pt;width:461.55pt;height:95.65pt;z-index:2;mso-wrap-style:none;mso-position-horizontal-relative:page;mso-position-vertical-relative:page" stroked="f">
            <v:textbox style="mso-next-textbox:#_x0000_s23192" inset="0,0,0,0">
              <w:txbxContent>
                <w:tbl>
                  <w:tblPr>
                    <w:tblW w:w="49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5"/>
                    <w:gridCol w:w="1303"/>
                  </w:tblGrid>
                  <w:tr w:rsidR="004A2193" w:rsidRPr="004A2193">
                    <w:trPr>
                      <w:jc w:val="right"/>
                    </w:trPr>
                    <w:tc>
                      <w:tcPr>
                        <w:tcW w:w="4223" w:type="pct"/>
                      </w:tcPr>
                      <w:p w:rsidR="004A2193" w:rsidRDefault="004A219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3 לחוק הרשויות המקומיות (פטור חיילים, נפגעי מלחמה ושוטרים מארנונה),</w:t>
                        </w:r>
                      </w:p>
                      <w:p w:rsidR="004A2193" w:rsidRDefault="004A2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התשי"ג-.1953 1,  במקום פסקה (1) יבוא:</w:t>
                        </w:r>
                      </w:p>
                      <w:p w:rsidR="004A2193" w:rsidRDefault="004A2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מי שמשרת שירות סדיר בצבא-הגנה לישראל שלא לפי חוק שירות בטחון,</w:t>
                        </w:r>
                      </w:p>
                      <w:p w:rsidR="004A2193" w:rsidRDefault="004A2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התשי"ט-1959 [נוסח משולב]2 , או שהוא משרת במוסד למודיעין ולתפקידים</w:t>
                        </w:r>
                      </w:p>
                      <w:p w:rsidR="004A2193" w:rsidRPr="004A2193" w:rsidRDefault="004A219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 או בשירות בטחון כללי - כל עוד הם משרתים כאמור; ".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4A2193" w:rsidRPr="004A2193" w:rsidRDefault="004A219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</w:tbl>
                <w:p w:rsidR="004A2193" w:rsidRDefault="004A219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193" o:spid="_x0000_s1032" type="#_x0000_t202" style="position:absolute;left:0;text-align:left;margin-left:90.7pt;margin-top:417.95pt;width:378.75pt;height:50.7pt;z-index:1;mso-wrap-style:none;mso-position-horizontal-relative:page;mso-position-vertical-relative:page" stroked="f">
            <v:textbox style="mso-next-textbox:#_x0000_s23193" inset="0,0,0,0">
              <w:txbxContent>
                <w:p w:rsidR="004A2193" w:rsidRDefault="004A2193">
                  <w:pPr>
                    <w:pStyle w:val="OCRStyle1"/>
                    <w:ind w:left="180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הרשויות המקומיות (פטור חיילים, נפגעי מלחמה ושוטרים מארנונה)</w:t>
                  </w:r>
                </w:p>
                <w:p w:rsidR="004A2193" w:rsidRPr="004A2193" w:rsidRDefault="004A2193">
                  <w:pPr>
                    <w:pStyle w:val="OCRStyle1"/>
                    <w:ind w:left="1793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(תיקון מס' 2), התשמ"ב-1982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A219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219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60F364D-7631-49AD-85CA-47C41CF60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A219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2008-04-07T01:10:00Z</dcterms:created>
  <dcterms:modified xsi:type="dcterms:W3CDTF">2008-04-07T01:10:00Z</dcterms:modified>
</cp:coreProperties>
</file>