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1512" w:rsidRDefault="00391512">
      <w:pPr>
        <w:rPr>
          <w:rtl/>
        </w:rPr>
      </w:pPr>
    </w:p>
    <w:p w:rsidR="003915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213" inset="0,0,0,0">
              <w:txbxContent>
                <w:p w:rsidR="00F55B2B" w:rsidRDefault="00F55B2B">
                  <w:r>
                    <w:rPr>
                      <w:rtl/>
                    </w:rPr>
                    <w:t>88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14" o:spid="_x0000_s1026" type="#_x0000_t202" style="position:absolute;left:0;text-align:left;margin-left:87.95pt;margin-top:648.75pt;width:385.7pt;height:107.3pt;z-index:3;mso-position-horizontal-relative:page;mso-position-vertical-relative:page" stroked="f">
            <v:textbox style="mso-next-textbox:#_x0000_s23214" inset="0,0,0,0">
              <w:txbxContent>
                <w:p w:rsidR="00F55B2B" w:rsidRDefault="00F55B2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בשבט תשל''ו (19 בינואר 1976); הצעת החוק ודברי הסבר פורסמו בה'ח 1184/תשל"ה,</w:t>
                  </w:r>
                </w:p>
                <w:p w:rsidR="00F55B2B" w:rsidRDefault="00F55B2B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294.</w:t>
                  </w:r>
                </w:p>
                <w:p w:rsidR="00F55B2B" w:rsidRDefault="00F55B2B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תשכ"א, עמ' 169; תש''ל, עמ' 130.</w:t>
                  </w:r>
                </w:p>
                <w:p w:rsidR="00F55B2B" w:rsidRDefault="00F55B2B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8, עמ' .197</w:t>
                  </w:r>
                </w:p>
                <w:p w:rsidR="00F55B2B" w:rsidRDefault="00F55B2B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9, עמ' .256</w:t>
                  </w:r>
                </w:p>
                <w:p w:rsidR="00F55B2B" w:rsidRDefault="00F55B2B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4. ס''ח תשי"ט, עמי .286</w:t>
                  </w:r>
                </w:p>
                <w:p w:rsidR="00F55B2B" w:rsidRPr="00391512" w:rsidRDefault="00F55B2B">
                  <w:pPr>
                    <w:pStyle w:val="OCRStyle1"/>
                    <w:ind w:left="40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794, כ''ו 3שבק תשל''ו, 1.1976 29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15" o:spid="_x0000_s1027" type="#_x0000_t202" style="position:absolute;left:0;text-align:left;margin-left:87.15pt;margin-top:113.55pt;width:471.65pt;height:533.2pt;z-index:2;mso-position-horizontal-relative:page;mso-position-vertical-relative:page" stroked="f">
            <v:textbox style="mso-next-textbox:#_x0000_s232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319"/>
                    <w:gridCol w:w="1282"/>
                  </w:tblGrid>
                  <w:tr w:rsidR="00F55B2B" w:rsidRPr="00391512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55B2B" w:rsidRDefault="00F55B2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ו לחוק הרשויות המקומיות (הסדרת השמירה), תשכ"א~1961 י (להלן -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 -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"הממונה עי1 השמירה" יבוא: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""הממונה על השמירה" - מי שנתמנה להיות ממונה על השמירה לפי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(ב);"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'"'תושב" - לרבות מי שגר בישוכ ואינו רשום כתושב בו במרשם האוכ-</w:t>
                        </w:r>
                      </w:p>
                      <w:p w:rsidR="00F55B2B" w:rsidRPr="00391512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לוסין ואינו ממלא חובת שמירה בישוב אחר."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סעיף;</w:t>
                        </w:r>
                      </w:p>
                    </w:tc>
                  </w:tr>
                  <w:tr w:rsidR="00F55B2B" w:rsidRPr="00391512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כמקום סעיף 2 לחוק העיקרי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F55B2B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F55B2B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הממשלה רשאית להחליט כי בשטח פלוני תהיה השמירה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בידי המשטרה (להלן - שטח שבאחריות המשטרה).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אלוף הפיקוד או מי שהוא הסמיך, ובשטח שבאחריות המש-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טרה - מפקד משטרת מחוז או מי שהוא הסמיך, רשאי למנות ממונה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השמירה.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לאחר התייעצות עם שר הבטחון, ולגבי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שבאחריות המשטרה - לאחר התייעצות עם שר המשטרה, להטיל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חובת שמירה על תושבי ישוב או ישובים (להלן - צו שמירה).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הממשלה כאמור בסעיף קטן (א) וצו שמירה אינם</w:t>
                        </w:r>
                      </w:p>
                      <w:p w:rsidR="00F55B2B" w:rsidRPr="00391512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פרסום ברשומות."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''אחריות לשמירה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5B2B" w:rsidRPr="00391512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55B2B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 לחוק העיקרי, במקום "סעיף 99 לפקודת העיריות, 1934" יבוא "פרק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שלושה-עשר לפקודת העיריות 2" ובמקום "סעיף 9 לפקודת המועצות המקומיות, 1941"</w:t>
                        </w:r>
                      </w:p>
                      <w:p w:rsidR="00F55B2B" w:rsidRPr="00391512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"סימן ג' בפרק ב' לפקודת המועצות המקומיות3".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55B2B" w:rsidRPr="00391512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 לחוק העיקרי. כמקום "55" יבוא "60".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55B2B" w:rsidRPr="00391512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55B2B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 לחוק העיקרי, סעיף קטן (ג) יסומן (ד), ובמקום סעיף קטן (ב) יבוא: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שהוטלה עליו חובת שמירה הוא בחזקת כשר לשמירה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הוכח ההיפך בדרך שקבע שר הפנים בהתייעצות עם שר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מי שנמצא בלתי כשר לשירות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כלתי כשר ארעית לשירות לפי חוק שירות בטחון, תשי"ט-1959</w:t>
                        </w:r>
                      </w:p>
                      <w:p w:rsidR="00F55B2B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משולב) 4, כשרו לשמירה לפי חוק זה ייקבע בדרך שקבע שר</w:t>
                        </w:r>
                      </w:p>
                      <w:p w:rsidR="00F55B2B" w:rsidRPr="00391512" w:rsidRDefault="00F55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בהתייעצות עם שר הבריאות."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55B2B" w:rsidRPr="00391512" w:rsidRDefault="00F55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F55B2B" w:rsidRDefault="00F55B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16" o:spid="_x0000_s1028" type="#_x0000_t202" style="position:absolute;left:0;text-align:left;margin-left:98.25pt;margin-top:71.6pt;width:388.5pt;height:38.2pt;z-index:1;mso-position-horizontal-relative:page;mso-position-vertical-relative:page" stroked="f">
            <v:textbox style="mso-next-textbox:#_x0000_s23216" inset="0,0,0,0">
              <w:txbxContent>
                <w:p w:rsidR="00F55B2B" w:rsidRPr="00391512" w:rsidRDefault="00F55B2B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(הסדרת השמירה) (תיקון מס' 2), תשל"ו-1976 .</w:t>
                  </w:r>
                </w:p>
              </w:txbxContent>
            </v:textbox>
            <w10:wrap anchorx="page" anchory="page"/>
          </v:shape>
        </w:pict>
      </w:r>
    </w:p>
    <w:p w:rsidR="00F55B2B" w:rsidRDefault="00F55B2B">
      <w:pPr>
        <w:rPr>
          <w:rtl/>
        </w:rPr>
      </w:pPr>
      <w:r>
        <w:rPr>
          <w:rtl/>
        </w:rPr>
        <w:br w:type="page"/>
      </w:r>
    </w:p>
    <w:p w:rsidR="00F55B2B" w:rsidRDefault="00000000">
      <w:pPr>
        <w:rPr>
          <w:rtl/>
        </w:rPr>
      </w:pPr>
      <w:r>
        <w:pict>
          <v:shape id="_x0000_s2321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217" inset="0,0,0,0">
              <w:txbxContent>
                <w:p w:rsidR="00F55B2B" w:rsidRDefault="00F55B2B">
                  <w:r>
                    <w:rPr>
                      <w:rtl/>
                    </w:rPr>
                    <w:t>89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18" o:spid="_x0000_s1030" type="#_x0000_t202" style="position:absolute;left:0;text-align:left;margin-left:363.15pt;margin-top:642.4pt;width:181.15pt;height:115.45pt;z-index:9;mso-position-horizontal-relative:page;mso-position-vertical-relative:page" stroked="f">
            <v:textbox style="mso-next-textbox:#_x0000_s23218" inset="0,0,0,0">
              <w:txbxContent>
                <w:p w:rsidR="00F55B2B" w:rsidRDefault="00F55B2B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5 ס"ח תשל"ה, עמי 18.</w:t>
                  </w:r>
                </w:p>
                <w:p w:rsidR="00F55B2B" w:rsidRPr="00F55B2B" w:rsidRDefault="00F55B2B">
                  <w:pPr>
                    <w:pStyle w:val="OCRStyle2"/>
                    <w:ind w:left="536"/>
                  </w:pPr>
                  <w:r>
                    <w:rPr>
                      <w:rtl/>
                    </w:rPr>
                    <w:t>6 ס"ח תשי"א,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19" o:spid="_x0000_s1031" type="#_x0000_t202" style="position:absolute;left:0;text-align:left;margin-left:171.7pt;margin-top:524.35pt;width:83.55pt;height:39pt;z-index:8;mso-position-horizontal-relative:page;mso-position-vertical-relative:page" stroked="f">
            <v:textbox style="mso-next-textbox:#_x0000_s23219" inset="0,0,0,0">
              <w:txbxContent>
                <w:p w:rsidR="00F55B2B" w:rsidRDefault="00F55B2B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55B2B" w:rsidRDefault="00F55B2B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0" o:spid="_x0000_s1032" type="#_x0000_t202" style="position:absolute;left:0;text-align:left;margin-left:294.25pt;margin-top:529.15pt;width:85.55pt;height:40.8pt;z-index:7;mso-position-horizontal-relative:page;mso-position-vertical-relative:page" stroked="f">
            <v:textbox style="mso-next-textbox:#_x0000_s23220" inset="0,0,0,0">
              <w:txbxContent>
                <w:p w:rsidR="00F55B2B" w:rsidRDefault="00F55B2B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55B2B" w:rsidRDefault="00F55B2B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1" o:spid="_x0000_s1033" type="#_x0000_t202" style="position:absolute;left:0;text-align:left;margin-left:439.4pt;margin-top:556.05pt;width:93.85pt;height:47.3pt;z-index:6;mso-position-horizontal-relative:page;mso-position-vertical-relative:page" stroked="f">
            <v:textbox style="mso-next-textbox:#_x0000_s23221" inset="0,0,0,0">
              <w:txbxContent>
                <w:p w:rsidR="00F55B2B" w:rsidRDefault="00F55B2B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55B2B" w:rsidRDefault="00F55B2B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2" o:spid="_x0000_s1034" type="#_x0000_t202" style="position:absolute;left:0;text-align:left;margin-left:74.85pt;margin-top:77.3pt;width:469.45pt;height:437.8pt;z-index:5;mso-position-horizontal-relative:page;mso-position-vertical-relative:page" stroked="f">
            <v:textbox style="mso-next-textbox:#_x0000_s2322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5815"/>
                    <w:gridCol w:w="1318"/>
                  </w:tblGrid>
                  <w:tr w:rsidR="00F55B2B" w:rsidRPr="00F55B2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/י.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במקום, סעיף 9 לחוק העיקרי יבוא:</w:t>
                        </w:r>
                      </w:p>
                    </w:tc>
                  </w:tr>
                  <w:tr w:rsidR="00F55B2B" w:rsidRPr="00F55B2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גא) לא יחוייב אדם בשמירה יותר מפעמיים כחודש ובסך הכל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מעשר שע7ת בחודש בתקופה שבין א' בתשרי ולי בניסן, ולא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משמונה שעות בחודש בתקופה שבין א' באייר וכ"ט באלול, אלא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אלוף הפיקוד או מפקד משטרת מחה, לפי הענין, ראה הכרח מטעמי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להורות, בדרך כלל או לישוב פלוני או לכמה ישובים, על הגדלת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השעות או הפעמים (בסעיף זה - הוראת הגדלה).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הוראת הגדלה היא לשלושים יום מדי שנה זולת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שר הבטחון או שר המשטרה, לפי הענין, אישר, לאחר התייעצות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 הפנים ובועדת החוץ והבטחון של הכנסת, תקופות תוקף נוספות.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הגדלה אינה טעונה פרסום ברשומות.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יבואו במנין זמני השמירה גם השעות והימים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מילא אדם חובת אבטחה לפי תקנות-שעת-חירום (אבטחת מוסדות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חינוך), תשל"ד-1974 5."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החובר,</w:t>
                        </w:r>
                      </w:p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מבחינת הזמן</w:t>
                        </w:r>
                      </w:p>
                    </w:tc>
                  </w:tr>
                  <w:tr w:rsidR="00F55B2B" w:rsidRPr="00F55B2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11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11 לחוק העיקרי יבוא:</w:t>
                        </w:r>
                      </w:p>
                    </w:tc>
                  </w:tr>
                  <w:tr w:rsidR="00F55B2B" w:rsidRPr="00F55B2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חובת שירות שהוטלה על אדם לפי חוק ההתגוננות האזרחית,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תשי"א-1951 6. או חובה שהוטלה על אדם לפי חוק שירות בטחון,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משולב], דוחה חובה שהוטלה עליו לפי חוק זה."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.חובות עדיפות</w:t>
                        </w:r>
                      </w:p>
                    </w:tc>
                  </w:tr>
                  <w:tr w:rsidR="00F55B2B" w:rsidRPr="00F55B2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.בסעיף 16 לחוק העיקרי, במקום הסיפה המתחילה במלים "דינו - קנס 300 לירות"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"דינו - קבס 1,500 לירות, ואם כבר הורשע בעבר על עבירה כאמור - מאסר</w:t>
                        </w:r>
                      </w:p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או קנס 3,000 לירות".</w:t>
                        </w:r>
                      </w:p>
                    </w:tc>
                  </w:tr>
                  <w:tr w:rsidR="00F55B2B" w:rsidRPr="00F55B2B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האמור בסעיף 19 לחוק העיקרי יסומן (א) ואחריו יבוא;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המדינה תשא בהוצאות הכרוכות בביצוע חוק זה.</w:t>
                        </w:r>
                      </w:p>
                      <w:p w:rsid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ההוצאות יהיה בהתאם לתקציב שיאשר שר הפנים</w:t>
                        </w:r>
                      </w:p>
                      <w:p w:rsidR="00F55B2B" w:rsidRPr="00F55B2B" w:rsidRDefault="00F55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שר האוצר."</w:t>
                        </w:r>
                      </w:p>
                    </w:tc>
                  </w:tr>
                </w:tbl>
                <w:p w:rsidR="00F55B2B" w:rsidRDefault="00F55B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15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E41710-A772-4ACB-BA96-C17CC3DD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15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55B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2008-04-06T22:36:00Z</dcterms:created>
  <dcterms:modified xsi:type="dcterms:W3CDTF">2008-04-06T22:36:00Z</dcterms:modified>
</cp:coreProperties>
</file>