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1CF5" w:rsidRDefault="00521CF5">
      <w:pPr>
        <w:rPr>
          <w:rtl/>
        </w:rPr>
      </w:pPr>
    </w:p>
    <w:p w:rsidR="00521C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31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319" inset="0,0,0,0">
              <w:txbxContent>
                <w:p w:rsidR="00521CF5" w:rsidRDefault="00521CF5">
                  <w:r>
                    <w:rPr>
                      <w:rtl/>
                    </w:rPr>
                    <w:t>252                                          ספר החוקים 822                     ב' באב התשל"ו 29.07.1976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20" o:spid="_x0000_s1026" type="#_x0000_t202" style="position:absolute;left:0;text-align:left;margin-left:81.65pt;margin-top:687.85pt;width:385.1pt;height:85.55pt;z-index:6;mso-position-horizontal-relative:page;mso-position-vertical-relative:page" stroked="f">
            <v:textbox style="mso-next-textbox:#_x0000_s23320" inset="0,0,0,0">
              <w:txbxContent>
                <w:p w:rsidR="00521CF5" w:rsidRDefault="00521CF5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בתמוז תשל"ו (19 ביולי 1976); הצעת החוק ודברי הסבר פורסמו בה''ח 1234, תשל''ו,</w:t>
                  </w:r>
                </w:p>
                <w:p w:rsidR="00521CF5" w:rsidRDefault="00521CF5">
                  <w:pPr>
                    <w:pStyle w:val="OCRStyle1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215.</w:t>
                  </w:r>
                </w:p>
                <w:p w:rsidR="00521CF5" w:rsidRPr="00521CF5" w:rsidRDefault="00521CF5">
                  <w:pPr>
                    <w:pStyle w:val="OCRStyle1"/>
                    <w:ind w:left="4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822 ב' באב תשל"ו 29.7.1976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21" o:spid="_x0000_s1027" type="#_x0000_t202" style="position:absolute;left:0;text-align:left;margin-left:110.15pt;margin-top:612.4pt;width:84.75pt;height:42pt;z-index:5;mso-position-horizontal-relative:page;mso-position-vertical-relative:page" stroked="f">
            <v:textbox style="mso-next-textbox:#_x0000_s23321" inset="0,0,0,0">
              <w:txbxContent>
                <w:p w:rsidR="00521CF5" w:rsidRDefault="00521CF5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521CF5" w:rsidRDefault="00521CF5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22" o:spid="_x0000_s1028" type="#_x0000_t202" style="position:absolute;left:0;text-align:left;margin-left:230.15pt;margin-top:608.25pt;width:86.55pt;height:51.1pt;z-index:4;mso-position-horizontal-relative:page;mso-position-vertical-relative:page" stroked="f">
            <v:textbox style="mso-next-textbox:#_x0000_s23322" inset="0,0,0,0">
              <w:txbxContent>
                <w:p w:rsidR="00521CF5" w:rsidRDefault="00521CF5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21CF5" w:rsidRDefault="00521CF5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23" o:spid="_x0000_s1029" type="#_x0000_t202" style="position:absolute;left:0;text-align:left;margin-left:373.7pt;margin-top:628.25pt;width:107.3pt;height:42.75pt;z-index:3;mso-position-horizontal-relative:page;mso-position-vertical-relative:page" stroked="f">
            <v:textbox style="mso-next-textbox:#_x0000_s23323" inset="0,0,0,0">
              <w:txbxContent>
                <w:p w:rsidR="00521CF5" w:rsidRDefault="00521CF5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21CF5" w:rsidRDefault="00521CF5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24" o:spid="_x0000_s1030" type="#_x0000_t202" style="position:absolute;left:0;text-align:left;margin-left:80.05pt;margin-top:160.95pt;width:483.3pt;height:436.4pt;z-index:2;mso-position-horizontal-relative:page;mso-position-vertical-relative:page" stroked="f">
            <v:textbox style="mso-next-textbox:#_x0000_s2332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3"/>
                    <w:gridCol w:w="1566"/>
                  </w:tblGrid>
                  <w:tr w:rsidR="00521CF5" w:rsidRPr="00521CF5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21CF5" w:rsidRDefault="00521CF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~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מקומית;</w:t>
                        </w:r>
                      </w:p>
                      <w:p w:rsidR="00521CF5" w:rsidRP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מועצה של רשות מקומית.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21CF5" w:rsidRPr="00521CF5" w:rsidRDefault="00521C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521CF5" w:rsidRPr="00521CF5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21CF5" w:rsidRP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המועצה תמנה אחד מעובדיה להיות מנהל הארנונה לענין חוק זה.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21CF5" w:rsidRPr="00521CF5" w:rsidRDefault="00521C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 הארנונה</w:t>
                        </w:r>
                      </w:p>
                    </w:tc>
                  </w:tr>
                  <w:tr w:rsidR="00521CF5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21CF5" w:rsidRDefault="00521C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3* מי שחוייב בתשלום ארנונה כללית רשאי להשיג עליה לפני מנהל הארנונה על יסוד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טענה מטענות אלה: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הנכס שבשלו נדרש התשלום אינו מצרי באזור כפי שנקבע בהודעת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התשלום;</w:t>
                        </w:r>
                      </w:p>
                      <w:p w:rsidR="00521CF5" w:rsidRP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נפלה טעות בציון סוג הנכס, גדלו או השימוש בו.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</w:t>
                        </w:r>
                      </w:p>
                    </w:tc>
                  </w:tr>
                  <w:tr w:rsidR="00521CF5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מנהל הארנונה ישיב למשיג תוך ששים יום מיום קבלת ההשגה.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השיב מנהל הארנונה תוך ששים יום - ייחשב הדבר כאילו החליט לקבל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ההשגה, זולת אם האריכה ועדת הערר האמורה כסעיף 5, תוך תקופה זו, את מועד מתן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התשובה, מטעמים מיוחדים שיירשמו, ובלבד שתקופת ההארכה לא תעלה על שלושים יום.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תשובת מנהל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הארנונה</w:t>
                        </w:r>
                      </w:p>
                    </w:tc>
                  </w:tr>
                  <w:tr w:rsidR="00521CF5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המועצה תמנה ועדת ערר אחת או יותר, בהרכב של שלושה חברים מכין בעלי הזכות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להיבחר כחברי המועצה, ואת היושב ראש שלהן.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</w:t>
                        </w:r>
                      </w:p>
                    </w:tc>
                  </w:tr>
                  <w:tr w:rsidR="00521CF5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הרואה עצמו מקופח בתשובת מנהל הארנויה על השגתו רשאי, תוך שלושים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שנמסרה לו התשובה, לערור עליה לפני ועדת ערר.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החלטת ועדת ערר רשאים העורר ומנהל הארנונה לערער לפני בית המשפט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שבאזור שיפוטו נמצא תחום הרשות המקומית; הערעור יוגש תוך שלושים יום מיום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ההחלטה למערער.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המחוזי ידון בערעור בשופט אחד ואין אחרי פסק-דינו ולא כלום.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</w:t>
                        </w:r>
                      </w:p>
                    </w:tc>
                  </w:tr>
                  <w:tr w:rsidR="00521CF5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21CF5" w:rsidRDefault="00521C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המשפטים רשאי לקבוע בתקנות את דרכי ההגשה של ערר וערעור לפי חוק זה</w:t>
                        </w:r>
                      </w:p>
                      <w:p w:rsidR="00521CF5" w:rsidRP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סדרי הדין בהם.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לערר וערעור</w:t>
                        </w:r>
                      </w:p>
                    </w:tc>
                  </w:tr>
                  <w:tr w:rsidR="00521CF5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הפנים ממונה על ביצוע חוק זה והוא רשאי להתקין תקנות בכל ענין</w:t>
                        </w:r>
                      </w:p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21CF5" w:rsidRDefault="00521C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521CF5" w:rsidRDefault="00521C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325" o:spid="_x0000_s1031" type="#_x0000_t202" style="position:absolute;left:0;text-align:left;margin-left:111.15pt;margin-top:99.8pt;width:332.25pt;height:56.25pt;z-index:1;mso-position-horizontal-relative:page;mso-position-vertical-relative:page" stroked="f">
            <v:textbox style="mso-next-textbox:#_x0000_s23325" inset="0,0,0,0">
              <w:txbxContent>
                <w:p w:rsidR="00521CF5" w:rsidRDefault="00521CF5">
                  <w:pPr>
                    <w:pStyle w:val="OCRStyle1"/>
                    <w:ind w:left="27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(ערר על קביעת אתונה כללית),</w:t>
                  </w:r>
                </w:p>
                <w:p w:rsidR="00521CF5" w:rsidRPr="00521CF5" w:rsidRDefault="00521CF5">
                  <w:pPr>
                    <w:pStyle w:val="OCRStyle1"/>
                    <w:ind w:left="2477"/>
                    <w:rPr>
                      <w:sz w:val="26"/>
                      <w:szCs w:val="26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1C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8F7589-1827-4DFF-9EF2-C36C5F88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1CF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2008-04-06T22:45:00Z</dcterms:created>
  <dcterms:modified xsi:type="dcterms:W3CDTF">2008-04-06T22:45:00Z</dcterms:modified>
</cp:coreProperties>
</file>