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7B14" w:rsidRDefault="004B7B14">
      <w:pPr>
        <w:rPr>
          <w:rtl/>
        </w:rPr>
      </w:pPr>
    </w:p>
    <w:p w:rsidR="004B7B1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3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326" inset="0,0,0,0">
              <w:txbxContent>
                <w:p w:rsidR="009C1C62" w:rsidRDefault="009C1C62">
                  <w:r>
                    <w:rPr>
                      <w:rtl/>
                    </w:rPr>
                    <w:t>107                                          ספר החוקים 764                  ט"ז בניסן התשל"ה 28.03.1975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27" o:spid="_x0000_s1026" type="#_x0000_t202" style="position:absolute;left:0;text-align:left;margin-left:169.2pt;margin-top:658pt;width:384.3pt;height:78.6pt;z-index:6;mso-position-horizontal-relative:page;mso-position-vertical-relative:page" stroked="f">
            <v:textbox style="mso-next-textbox:#_x0000_s23327" inset="0,0,0,0">
              <w:txbxContent>
                <w:p w:rsidR="009C1C62" w:rsidRDefault="009C1C62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ו' בניסן תשל"ח (18 במרס 1975); הצעת החוק ודברי הסבר פורסמו בח"ח 1151, תשל"ה</w:t>
                  </w:r>
                </w:p>
                <w:p w:rsidR="009C1C62" w:rsidRPr="004B7B14" w:rsidRDefault="009C1C62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28" o:spid="_x0000_s1027" type="#_x0000_t202" style="position:absolute;left:0;text-align:left;margin-left:191pt;margin-top:579.4pt;width:83.55pt;height:33.45pt;z-index:5;mso-position-horizontal-relative:page;mso-position-vertical-relative:page" stroked="f">
            <v:textbox style="mso-next-textbox:#_x0000_s23328" inset="0,0,0,0">
              <w:txbxContent>
                <w:p w:rsidR="009C1C62" w:rsidRDefault="009C1C62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9C1C62" w:rsidRDefault="009C1C62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שר הפנים '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29" o:spid="_x0000_s1028" type="#_x0000_t202" style="position:absolute;left:0;text-align:left;margin-left:314.55pt;margin-top:581.2pt;width:84.55pt;height:34.25pt;z-index:4;mso-position-horizontal-relative:page;mso-position-vertical-relative:page" stroked="f">
            <v:textbox style="mso-next-textbox:#_x0000_s23329" inset="0,0,0,0">
              <w:txbxContent>
                <w:p w:rsidR="009C1C62" w:rsidRDefault="009C1C62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C1C62" w:rsidRDefault="009C1C62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30" o:spid="_x0000_s1029" type="#_x0000_t202" style="position:absolute;left:0;text-align:left;margin-left:455.75pt;margin-top:609.5pt;width:101.95pt;height:32.65pt;z-index:3;mso-position-horizontal-relative:page;mso-position-vertical-relative:page" stroked="f">
            <v:textbox style="mso-next-textbox:#_x0000_s23330" inset="0,0,0,0">
              <w:txbxContent>
                <w:p w:rsidR="009C1C62" w:rsidRDefault="009C1C62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C1C62" w:rsidRDefault="009C1C62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31" o:spid="_x0000_s1030" type="#_x0000_t202" style="position:absolute;left:0;text-align:left;margin-left:100.7pt;margin-top:326.35pt;width:452.85pt;height:236.4pt;z-index:2;mso-position-horizontal-relative:page;mso-position-vertical-relative:page" stroked="f">
            <v:textbox style="mso-next-textbox:#_x0000_s2333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6955"/>
                  </w:tblGrid>
                  <w:tr w:rsidR="009C1C62" w:rsidRPr="004B7B1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9C1C62" w:rsidRPr="004B7B14" w:rsidRDefault="009C1C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9C1C62" w:rsidRDefault="009C1C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9C1C62" w:rsidRDefault="009C1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"תמורה" - הסכום המועבר מאוצר המדינה לרשויות המקומיות לפי חוק זה;</w:t>
                        </w:r>
                      </w:p>
                      <w:p w:rsidR="009C1C62" w:rsidRDefault="009C1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"הכנסות המדינה" - סך כל הכנסות המדינה כפועל ממסים, מתשלומי חובה אחרים</w:t>
                        </w:r>
                      </w:p>
                      <w:p w:rsidR="009C1C62" w:rsidRDefault="009C1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ומאגרות, בשנת הכספים שקדמה בשנתיים לשנת הכספים שבה מחולקת התמורה, לפי</w:t>
                        </w:r>
                      </w:p>
                      <w:p w:rsidR="009C1C62" w:rsidRDefault="009C1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פירוטם וביאורם בדין-וחשבון האוצר הנוגע לשנה שבה נתקבלו ההכנסות;</w:t>
                        </w:r>
                      </w:p>
                      <w:p w:rsidR="009C1C62" w:rsidRPr="004B7B14" w:rsidRDefault="009C1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"שנה" - שנת הכספים.</w:t>
                        </w:r>
                      </w:p>
                    </w:tc>
                  </w:tr>
                  <w:tr w:rsidR="009C1C62" w:rsidRPr="004B7B1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9C1C62" w:rsidRDefault="009C1C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התמורה</w:t>
                        </w:r>
                      </w:p>
                      <w:p w:rsidR="009C1C62" w:rsidRPr="004B7B14" w:rsidRDefault="009C1C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ושיעורה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9C1C62" w:rsidRDefault="009C1C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בכל שנת כספים יעכיר אוצר המדינה לרשויות המקומיות סכום תמורה כשיעור של</w:t>
                        </w:r>
                      </w:p>
                      <w:p w:rsidR="009C1C62" w:rsidRPr="004B7B14" w:rsidRDefault="009C1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 הכנסות המדינה.4.828%</w:t>
                        </w:r>
                      </w:p>
                    </w:tc>
                  </w:tr>
                  <w:tr w:rsidR="009C1C62" w:rsidRPr="004B7B1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9C1C62" w:rsidRPr="004B7B14" w:rsidRDefault="009C1C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9C1C62" w:rsidRDefault="009C1C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שר הפנים ממונה על ביצוע חוק זה והוא יקבע בתקנות, באישור ועדת הפנינו</w:t>
                        </w:r>
                      </w:p>
                      <w:p w:rsidR="009C1C62" w:rsidRDefault="009C1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ואיכות הסביבה של הכנסת, כללים לחלוקת התמורה לרשויות מקומיות החל משנת .1974</w:t>
                        </w:r>
                      </w:p>
                      <w:p w:rsidR="009C1C62" w:rsidRDefault="009C1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שנה, החל בשנת 1974, יפרסם שר הפנים ברשומות רשימה של רשויות</w:t>
                        </w:r>
                      </w:p>
                      <w:p w:rsidR="009C1C62" w:rsidRPr="004B7B14" w:rsidRDefault="009C1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 ושיעורי התמורה שתחולק להן, לפי הכללים שנקבעו כאמור בסעיף קטן )א(.</w:t>
                        </w:r>
                      </w:p>
                    </w:tc>
                  </w:tr>
                </w:tbl>
                <w:p w:rsidR="009C1C62" w:rsidRDefault="009C1C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332" o:spid="_x0000_s1031" type="#_x0000_t202" style="position:absolute;left:0;text-align:left;margin-left:185.05pt;margin-top:297.85pt;width:356.8pt;height:25.15pt;z-index:1;mso-position-horizontal-relative:page;mso-position-vertical-relative:page" stroked="f">
            <v:textbox style="mso-next-textbox:#_x0000_s23332" inset="0,0,0,0">
              <w:txbxContent>
                <w:p w:rsidR="009C1C62" w:rsidRPr="004B7B14" w:rsidRDefault="009C1C62">
                  <w:pPr>
                    <w:pStyle w:val="OCRStyle1"/>
                    <w:ind w:left="2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(תמורת ארונות רכוש), תשל"ה-1975*</w:t>
                  </w:r>
                </w:p>
              </w:txbxContent>
            </v:textbox>
            <w10:wrap anchorx="page" anchory="page"/>
          </v:shape>
        </w:pict>
      </w:r>
    </w:p>
    <w:p w:rsidR="009C1C62" w:rsidRDefault="009C1C62">
      <w:pPr>
        <w:rPr>
          <w:rtl/>
        </w:rPr>
      </w:pPr>
      <w:r>
        <w:rPr>
          <w:rtl/>
        </w:rPr>
        <w:br w:type="page"/>
      </w:r>
    </w:p>
    <w:p w:rsidR="009C1C62" w:rsidRDefault="00000000">
      <w:pPr>
        <w:rPr>
          <w:rtl/>
        </w:rPr>
      </w:pPr>
      <w:r>
        <w:pict>
          <v:shape id="_x0000_s23333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3333" inset="0,0,0,0">
              <w:txbxContent>
                <w:p w:rsidR="009C1C62" w:rsidRDefault="009C1C62">
                  <w:r>
                    <w:rPr>
                      <w:rtl/>
                    </w:rPr>
                    <w:t>108                                          ספר החוקים 764                  ט"ז בניסן התשל"ה 28.03.1975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34" o:spid="_x0000_s1033" type="#_x0000_t202" style="position:absolute;left:0;text-align:left;margin-left:81.85pt;margin-top:710.8pt;width:118.8pt;height:22.55pt;z-index:8;mso-position-horizontal-relative:page;mso-position-vertical-relative:page" stroked="f">
            <v:textbox style="mso-next-textbox:#_x0000_s23334" inset="0,0,0,0">
              <w:txbxContent>
                <w:p w:rsidR="009C1C62" w:rsidRDefault="009C1C6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B7B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C331AC-3CBE-4661-B360-46450852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B7B1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C1C6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2008-04-06T22:21:00Z</dcterms:created>
  <dcterms:modified xsi:type="dcterms:W3CDTF">2008-04-06T22:21:00Z</dcterms:modified>
</cp:coreProperties>
</file>