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427E" w:rsidRDefault="00FA427E">
      <w:pPr>
        <w:rPr>
          <w:rtl/>
        </w:rPr>
      </w:pPr>
    </w:p>
    <w:p w:rsidR="00FA427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34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342" inset="0,0,0,0">
              <w:txbxContent>
                <w:p w:rsidR="00FA427E" w:rsidRDefault="00FA427E">
                  <w:r>
                    <w:rPr>
                      <w:rtl/>
                    </w:rPr>
                    <w:t>26                                           ספר החוקים 441                    ה' בשבט התשכ"ה 08.01.1965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43" o:spid="_x0000_s1026" type="#_x0000_t202" style="position:absolute;left:0;text-align:left;margin-left:82.45pt;margin-top:586.85pt;width:386.5pt;height:151.05pt;z-index:6;mso-position-horizontal-relative:page;mso-position-vertical-relative:page" stroked="f">
            <v:textbox style="mso-next-textbox:#_x0000_s23343" inset="0,0,0,0">
              <w:txbxContent>
                <w:p w:rsidR="00FA427E" w:rsidRDefault="00FA427E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בטבת תשכ"ה (30 בדצמבר 1964); הצעת החוק ודברי הסבר פורסמו בה"ח 634,תשכ"ד,</w:t>
                  </w:r>
                </w:p>
                <w:p w:rsidR="00FA427E" w:rsidRDefault="00FA427E">
                  <w:pPr>
                    <w:pStyle w:val="OCRStyle1"/>
                    <w:ind w:left="3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807.</w:t>
                  </w:r>
                </w:p>
                <w:p w:rsidR="00FA427E" w:rsidRDefault="00FA427E">
                  <w:pPr>
                    <w:pStyle w:val="OCRStyle1"/>
                    <w:ind w:left="20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291, תשי"ט, עמ' 215.</w:t>
                  </w:r>
                </w:p>
                <w:p w:rsidR="00FA427E" w:rsidRDefault="00FA427E">
                  <w:pPr>
                    <w:pStyle w:val="OCRStyle1"/>
                    <w:ind w:left="410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הודפס ע"י המדפיס הממשלתי, ירושלים</w:t>
                  </w:r>
                </w:p>
                <w:p w:rsidR="00FA427E" w:rsidRPr="00FA427E" w:rsidRDefault="00FA427E">
                  <w:pPr>
                    <w:pStyle w:val="OCRStyle1"/>
                    <w:ind w:left="406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44" o:spid="_x0000_s1027" type="#_x0000_t202" style="position:absolute;left:0;text-align:left;margin-left:102.05pt;margin-top:388.85pt;width:119.4pt;height:38.4pt;z-index:5;mso-position-horizontal-relative:page;mso-position-vertical-relative:page" stroked="f">
            <v:textbox style="mso-next-textbox:#_x0000_s23344" inset="0,0,0,0">
              <w:txbxContent>
                <w:p w:rsidR="00FA427E" w:rsidRDefault="00FA427E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FA427E" w:rsidRDefault="00FA427E">
                  <w:pPr>
                    <w:pStyle w:val="OCRStyle1"/>
                    <w:ind w:left="70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45" o:spid="_x0000_s1028" type="#_x0000_t202" style="position:absolute;left:0;text-align:left;margin-left:238.7pt;margin-top:389.85pt;width:92.85pt;height:34.85pt;z-index:4;mso-position-horizontal-relative:page;mso-position-vertical-relative:page" stroked="f">
            <v:textbox style="mso-next-textbox:#_x0000_s23345" inset="0,0,0,0">
              <w:txbxContent>
                <w:p w:rsidR="00FA427E" w:rsidRDefault="00FA427E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A427E" w:rsidRDefault="00FA427E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46" o:spid="_x0000_s1029" type="#_x0000_t202" style="position:absolute;left:0;text-align:left;margin-left:353.9pt;margin-top:413.6pt;width:126.15pt;height:40.2pt;z-index:3;mso-position-horizontal-relative:page;mso-position-vertical-relative:page" stroked="f">
            <v:textbox style="mso-next-textbox:#_x0000_s23346" inset="0,0,0,0">
              <w:txbxContent>
                <w:p w:rsidR="00FA427E" w:rsidRDefault="00FA427E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A427E" w:rsidRDefault="00FA427E">
                  <w:pPr>
                    <w:pStyle w:val="OCRStyle1"/>
                    <w:ind w:left="6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47" o:spid="_x0000_s1030" type="#_x0000_t202" style="position:absolute;left:0;text-align:left;margin-left:76.5pt;margin-top:98.8pt;width:492.45pt;height:274.8pt;z-index:2;mso-position-horizontal-relative:page;mso-position-vertical-relative:page" stroked="f">
            <v:textbox style="mso-next-textbox:#_x0000_s23347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7"/>
                    <w:gridCol w:w="1436"/>
                    <w:gridCol w:w="1612"/>
                  </w:tblGrid>
                  <w:tr w:rsidR="00FA427E" w:rsidRPr="00FA427E">
                    <w:trPr>
                      <w:jc w:val="right"/>
                    </w:trPr>
                    <w:tc>
                      <w:tcPr>
                        <w:tcW w:w="4100" w:type="pct"/>
                        <w:gridSpan w:val="2"/>
                      </w:tcPr>
                      <w:p w:rsidR="00FA427E" w:rsidRDefault="00FA42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הרשויות המקומיות (היטל סעד ונופש), תשי"ט-1959  1(להלן - החוק העיקרי),</w:t>
                        </w:r>
                      </w:p>
                      <w:p w:rsidR="00FA427E" w:rsidRPr="00FA427E" w:rsidRDefault="00FA4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9 יבוא:</w:t>
                        </w:r>
                      </w:p>
                    </w:tc>
                    <w:tc>
                      <w:tcPr>
                        <w:tcW w:w="900" w:type="pct"/>
                      </w:tcPr>
                      <w:p w:rsidR="00FA427E" w:rsidRDefault="00FA42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חוסמת</w:t>
                        </w:r>
                      </w:p>
                      <w:p w:rsidR="00FA427E" w:rsidRPr="00FA427E" w:rsidRDefault="00FA42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9א</w:t>
                        </w:r>
                      </w:p>
                    </w:tc>
                  </w:tr>
                  <w:tr w:rsidR="00FA427E">
                    <w:trPr>
                      <w:jc w:val="right"/>
                    </w:trPr>
                    <w:tc>
                      <w:tcPr>
                        <w:tcW w:w="3298" w:type="pct"/>
                      </w:tcPr>
                      <w:p w:rsidR="00FA427E" w:rsidRDefault="00FA4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ביקשה מועצת הרשות המקומית מארגונים הנראים לה כמייצגים את</w:t>
                        </w:r>
                      </w:p>
                      <w:p w:rsidR="00FA427E" w:rsidRDefault="00FA4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המוסדות שבתחום הרשות המקומית או כל חלק מהם להמליץ על</w:t>
                        </w:r>
                      </w:p>
                      <w:p w:rsidR="00FA427E" w:rsidRDefault="00FA4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לחברות בועדת השומה או בועדת הערר, ולא הגישו הארגונים</w:t>
                        </w:r>
                      </w:p>
                      <w:p w:rsidR="00FA427E" w:rsidRDefault="00FA4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המלצה כלשהי תוך חודש ימים מיום מסירת הבקשה, תהא המועצה רשאית</w:t>
                        </w:r>
                      </w:p>
                      <w:p w:rsidR="00FA427E" w:rsidRDefault="00FA4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לבחור בחברי ועדת השומה או ועדת הערר, הכל לפי הענין, אף שלא על</w:t>
                        </w:r>
                      </w:p>
                      <w:p w:rsidR="00FA427E" w:rsidRDefault="00FA4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המלצת ארגונים כאמור; שר הפנים רשאי, כצו, להאריך את המועד</w:t>
                        </w:r>
                      </w:p>
                      <w:p w:rsidR="00FA427E" w:rsidRDefault="00FA4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ההמלצות של הארגונים לרשות מקומית פלונית."</w:t>
                        </w:r>
                      </w:p>
                    </w:tc>
                    <w:tc>
                      <w:tcPr>
                        <w:tcW w:w="802" w:type="pct"/>
                      </w:tcPr>
                      <w:p w:rsidR="00FA427E" w:rsidRDefault="00FA4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"בחירת חברי</w:t>
                        </w:r>
                      </w:p>
                      <w:p w:rsidR="00FA427E" w:rsidRDefault="00FA42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 בלא</w:t>
                        </w:r>
                      </w:p>
                      <w:p w:rsidR="00FA427E" w:rsidRDefault="00FA42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המלצות</w:t>
                        </w:r>
                      </w:p>
                      <w:p w:rsidR="00FA427E" w:rsidRPr="00FA427E" w:rsidRDefault="00FA42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ארגונים</w:t>
                        </w:r>
                      </w:p>
                    </w:tc>
                    <w:tc>
                      <w:tcPr>
                        <w:tcW w:w="900" w:type="pct"/>
                      </w:tcPr>
                      <w:p w:rsidR="00FA427E" w:rsidRDefault="00FA427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A427E" w:rsidRPr="00FA427E">
                    <w:trPr>
                      <w:jc w:val="right"/>
                    </w:trPr>
                    <w:tc>
                      <w:tcPr>
                        <w:tcW w:w="4100" w:type="pct"/>
                        <w:gridSpan w:val="2"/>
                      </w:tcPr>
                      <w:p w:rsidR="00FA427E" w:rsidRPr="00FA427E" w:rsidRDefault="00FA4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17 לחוק העיקרי יבוא:</w:t>
                        </w:r>
                      </w:p>
                    </w:tc>
                    <w:tc>
                      <w:tcPr>
                        <w:tcW w:w="900" w:type="pct"/>
                      </w:tcPr>
                      <w:p w:rsidR="00FA427E" w:rsidRPr="00FA427E" w:rsidRDefault="00FA42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החלמת סעיף 17</w:t>
                        </w:r>
                      </w:p>
                    </w:tc>
                  </w:tr>
                  <w:tr w:rsidR="00FA427E">
                    <w:trPr>
                      <w:jc w:val="right"/>
                    </w:trPr>
                    <w:tc>
                      <w:tcPr>
                        <w:tcW w:w="3298" w:type="pct"/>
                      </w:tcPr>
                      <w:p w:rsidR="00FA427E" w:rsidRDefault="00FA42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הגשת ערר או ערעור לפי חוק זה אינה מעכבת את גביית אותו חלק</w:t>
                        </w:r>
                      </w:p>
                      <w:p w:rsidR="00FA427E" w:rsidRPr="00FA427E" w:rsidRDefault="00FA4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מההיטל שאינו שנוי במחלוקת."</w:t>
                        </w:r>
                      </w:p>
                    </w:tc>
                    <w:tc>
                      <w:tcPr>
                        <w:tcW w:w="802" w:type="pct"/>
                      </w:tcPr>
                      <w:p w:rsidR="00FA427E" w:rsidRDefault="00FA4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"השפעת ערר או</w:t>
                        </w:r>
                      </w:p>
                      <w:p w:rsidR="00FA427E" w:rsidRPr="00FA427E" w:rsidRDefault="00FA42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על הגביה</w:t>
                        </w:r>
                      </w:p>
                    </w:tc>
                    <w:tc>
                      <w:tcPr>
                        <w:tcW w:w="900" w:type="pct"/>
                      </w:tcPr>
                      <w:p w:rsidR="00FA427E" w:rsidRDefault="00FA427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A427E" w:rsidRPr="00FA427E">
                    <w:trPr>
                      <w:jc w:val="right"/>
                    </w:trPr>
                    <w:tc>
                      <w:tcPr>
                        <w:tcW w:w="4100" w:type="pct"/>
                        <w:gridSpan w:val="2"/>
                      </w:tcPr>
                      <w:p w:rsidR="00FA427E" w:rsidRPr="00FA427E" w:rsidRDefault="00FA4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במקום סעיף 25 לחוק העיקרי יבוא:</w:t>
                        </w:r>
                      </w:p>
                    </w:tc>
                    <w:tc>
                      <w:tcPr>
                        <w:tcW w:w="900" w:type="pct"/>
                      </w:tcPr>
                      <w:p w:rsidR="00FA427E" w:rsidRPr="00FA427E" w:rsidRDefault="00FA42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החלמת סעיף 28</w:t>
                        </w:r>
                      </w:p>
                    </w:tc>
                  </w:tr>
                  <w:tr w:rsidR="00FA427E">
                    <w:trPr>
                      <w:jc w:val="right"/>
                    </w:trPr>
                    <w:tc>
                      <w:tcPr>
                        <w:tcW w:w="3298" w:type="pct"/>
                      </w:tcPr>
                      <w:p w:rsidR="00FA427E" w:rsidRDefault="00FA42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הרשות המקומית חייבת להקדיש את ההיטל למטרות סעד בתחומיה*</w:t>
                        </w:r>
                      </w:p>
                      <w:p w:rsidR="00FA427E" w:rsidRDefault="00FA4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רשות מקומית שהכריז עליה שר הפנים לענין סעיף 1(ב), רשאית</w:t>
                        </w:r>
                      </w:p>
                      <w:p w:rsidR="00FA427E" w:rsidRDefault="00FA4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להקדיש את ההיטל או חלק ממנו גם לפיתוחם ולהחזקתם של מפעלי נופש</w:t>
                        </w:r>
                      </w:p>
                      <w:p w:rsidR="00FA427E" w:rsidRPr="00FA427E" w:rsidRDefault="00FA4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וקיט שבתחומיה."</w:t>
                        </w:r>
                      </w:p>
                    </w:tc>
                    <w:tc>
                      <w:tcPr>
                        <w:tcW w:w="802" w:type="pct"/>
                      </w:tcPr>
                      <w:p w:rsidR="00FA427E" w:rsidRDefault="00FA4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"ייעוד כספי</w:t>
                        </w:r>
                      </w:p>
                      <w:p w:rsidR="00FA427E" w:rsidRPr="00FA427E" w:rsidRDefault="00FA42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ההיטל</w:t>
                        </w:r>
                      </w:p>
                    </w:tc>
                    <w:tc>
                      <w:tcPr>
                        <w:tcW w:w="900" w:type="pct"/>
                      </w:tcPr>
                      <w:p w:rsidR="00FA427E" w:rsidRDefault="00FA427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A427E" w:rsidRDefault="00FA42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348" o:spid="_x0000_s1031" type="#_x0000_t202" style="position:absolute;left:0;text-align:left;margin-left:107.2pt;margin-top:70.65pt;width:370.45pt;height:25.55pt;z-index:1;mso-position-horizontal-relative:page;mso-position-vertical-relative:page" stroked="f">
            <v:textbox style="mso-next-textbox:#_x0000_s23348" inset="0,0,0,0">
              <w:txbxContent>
                <w:p w:rsidR="00FA427E" w:rsidRPr="00FA427E" w:rsidRDefault="00FA427E">
                  <w:pPr>
                    <w:pStyle w:val="OCRStyle1"/>
                    <w:ind w:left="274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הרשויות המקומיות (היטל סעד ונופש) (תיקון), תשכ"ה-1964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A427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F098327-0403-41F3-850A-8BFC9CAE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A427E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2008-04-09T14:19:00Z</dcterms:created>
  <dcterms:modified xsi:type="dcterms:W3CDTF">2008-04-09T14:19:00Z</dcterms:modified>
</cp:coreProperties>
</file>