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26F9" w:rsidRDefault="006826F9">
      <w:pPr>
        <w:rPr>
          <w:rtl/>
        </w:rPr>
      </w:pPr>
    </w:p>
    <w:p w:rsidR="006826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7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3571" inset="0,0,0,0">
              <w:txbxContent>
                <w:p w:rsidR="00D45D11" w:rsidRDefault="00D45D11">
                  <w:r>
                    <w:rPr>
                      <w:rtl/>
                    </w:rPr>
                    <w:t>278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2" o:spid="_x0000_s1026" type="#_x0000_t202" style="position:absolute;left:0;text-align:left;margin-left:87.6pt;margin-top:718.5pt;width:172.25pt;height:20.6pt;z-index:5;mso-position-horizontal-relative:page;mso-position-vertical-relative:page" stroked="f">
            <v:textbox style="mso-next-textbox:#_x0000_s23572" inset="0,0,0,0">
              <w:txbxContent>
                <w:p w:rsidR="00D45D11" w:rsidRDefault="00D45D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73" o:spid="_x0000_s1027" type="#_x0000_t202" style="position:absolute;left:0;text-align:left;margin-left:91.15pt;margin-top:665.85pt;width:355.8pt;height:33.05pt;z-index:4;mso-position-horizontal-relative:page;mso-position-vertical-relative:page" stroked="f">
            <v:textbox style="mso-next-textbox:#_x0000_s23573" inset="0,0,0,0">
              <w:txbxContent>
                <w:p w:rsidR="00D45D11" w:rsidRDefault="00D45D1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תש''י (31 ביולי 1050); הצעת החוק ודברי הסבר נתפרסמו</w:t>
                  </w:r>
                </w:p>
                <w:p w:rsidR="00D45D11" w:rsidRPr="006826F9" w:rsidRDefault="00D45D11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25 מיום י''ז בכסלו תש"י (8 בדצמבר 1946), עמוד 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4" o:spid="_x0000_s1028" type="#_x0000_t202" style="position:absolute;left:0;text-align:left;margin-left:87.6pt;margin-top:158.35pt;width:452.25pt;height:504.9pt;z-index:3;mso-position-horizontal-relative:page;mso-position-vertical-relative:page" stroked="f">
            <v:textbox style="mso-next-textbox:#_x0000_s235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120"/>
                  </w:tblGrid>
                  <w:tr w:rsidR="00D45D11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D45D11" w:rsidRDefault="00D45D1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כולל מקרקעים ומטלטלים, וכן זכויות וטובות הנאה מכל סוג שהוא*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עירונית" פירושו - מקרקעימ הנמצאים בתחומי שטח תכנון עיר,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שטח תכנון גלילי :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עוברת לציבור" פירושו - מקרקעים שאינם קרקע עירונית, וכן קרקע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עירונית שהממשלה הכריזה עליה, לצורך חוק זה, כעל מקרקעימ מיועדים לשיכון</w:t>
                        </w:r>
                      </w:p>
                      <w:p w:rsidR="00D45D11" w:rsidRPr="006826F9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עולים, לשיכון עממי או למטרות פיתוח.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</w:tr>
                  <w:tr w:rsidR="00D45D11" w:rsidRPr="006826F9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D45D11" w:rsidRDefault="00D45D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הממשלה רשאית, בצו שיפורסם ברשומות, למנות חבר בני אדם להיות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לפיתוח הארץ (בחוק זה "רשות הפיתוח*).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הפיתוח תהווה גוף מאוגד, והיא תהא רשאית להתקשר בחוזים,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ולרכוש רכוש, ולהיות צד בכל משא ומתן, משפטי או אחר.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חדלה רשות הפיתוח מכהן, סמכויותיה, זכויותיה וחובותיה עוברים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מאליהם לשר האוצר : נתמנה חבר בני אדם אחר להיות רשות הפיתוח, הסמכויות,</w:t>
                        </w:r>
                      </w:p>
                      <w:p w:rsidR="00D45D11" w:rsidRPr="006826F9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והחובות האמורים עוברים מאליהם אליו, וכן מרשות פיתוח לרשות פיתוח.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45D11" w:rsidRPr="006826F9" w:rsidRDefault="00D45D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פיתוח</w:t>
                        </w:r>
                      </w:p>
                    </w:tc>
                  </w:tr>
                  <w:tr w:rsidR="00D45D11" w:rsidRPr="006826F9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D45D11" w:rsidRDefault="00D45D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.רשות הפיתוח מוסמכת -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לקנות נכסים, לשכרם, לחכרם, להחליפם ולרכשם בדרך אחרת :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לבנות, להקים, לסול, לשנות, לתקן, להשלים, לשפר, לפתח' לקיים,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להחזיק, לנהל, להפעיל ולהסדיר בנינים, דרכים, כבישים, מסילות-ברזל, גשרים,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תעלות, מכרות, קווי תחבורה, נמלים, שדות-תעופה, בתי-חרושת, מפעלי השקאה,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יעור, מפעלי חשמל, מפעלי תחבורה, מפעלי מים, מפעלי התישבות, מפעלי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ומפעלים אחרים :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לפתח נכסים, להשלימם, להשביחם, למזגם, לנהלם, לעבדם ולהכשירם!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למכור נכסים, להעבירם בדרך אחרת, להשכירם, להחכירם ולשעבדם :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רשות הפיתוח לא תהא רשאית למכור קרקע עוברת לציבור, או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זכות הבעלות עליה בדרך אחרת, אלא למדינה, לקרן הקיימת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למוסד שאושר על-ידי הממשלה, לצורך פסקה זו, כמוסד ליישוב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ערבים מחוסרי קרקע, או לרשות מקומית : קרקע שנרכשה כך, זכות</w:t>
                        </w:r>
                      </w:p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עליה שוב אינה ניתנת להעברה אלא, בהסכמת רשות הפיתוח,</w:t>
                        </w:r>
                      </w:p>
                      <w:p w:rsidR="00D45D11" w:rsidRPr="006826F9" w:rsidRDefault="00D45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מן הגופים הנזכרים בפסקת משנה זו 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D45D11" w:rsidRPr="006826F9" w:rsidRDefault="00D45D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D45D11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D45D11" w:rsidRDefault="00D45D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5D11" w:rsidRDefault="00D45D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75" o:spid="_x0000_s1029" type="#_x0000_t202" style="position:absolute;left:0;text-align:left;margin-left:127.8pt;margin-top:125.3pt;width:301.35pt;height:31.3pt;z-index:2;mso-position-horizontal-relative:page;mso-position-vertical-relative:page" stroked="f">
            <v:textbox style="mso-next-textbox:#_x0000_s23575" inset="0,0,0,0">
              <w:txbxContent>
                <w:p w:rsidR="00D45D11" w:rsidRPr="006826F9" w:rsidRDefault="00D45D11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רשות פיתוח (העברת נכסים), תש"י - 1950*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6" o:spid="_x0000_s1030" type="#_x0000_t202" style="position:absolute;left:0;text-align:left;margin-left:478.25pt;margin-top:57.6pt;width:78.6pt;height:36.65pt;z-index:1;mso-position-horizontal-relative:page;mso-position-vertical-relative:page" stroked="f">
            <v:textbox style="mso-next-textbox:#_x0000_s23576" inset="0,0,0,0">
              <w:txbxContent>
                <w:p w:rsidR="00D45D11" w:rsidRDefault="00D45D11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מספר 62</w:t>
                  </w:r>
                </w:p>
              </w:txbxContent>
            </v:textbox>
            <w10:wrap anchorx="page" anchory="page"/>
          </v:shape>
        </w:pict>
      </w:r>
    </w:p>
    <w:p w:rsidR="00517FBF" w:rsidRDefault="00517FBF">
      <w:pPr>
        <w:rPr>
          <w:rtl/>
        </w:rPr>
      </w:pPr>
      <w:r>
        <w:rPr>
          <w:rtl/>
        </w:rPr>
        <w:br w:type="page"/>
      </w:r>
    </w:p>
    <w:p w:rsidR="00517FBF" w:rsidRDefault="00000000">
      <w:pPr>
        <w:rPr>
          <w:rtl/>
        </w:rPr>
      </w:pPr>
      <w:r>
        <w:pict>
          <v:shape id="_x0000_s23577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577" inset="0,0,0,0">
              <w:txbxContent>
                <w:p w:rsidR="00D45D11" w:rsidRDefault="00D45D11">
                  <w:r>
                    <w:rPr>
                      <w:rtl/>
                    </w:rPr>
                    <w:t>279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78" o:spid="_x0000_s1032" type="#_x0000_t202" style="position:absolute;left:0;text-align:left;margin-left:353pt;margin-top:721.5pt;width:181.95pt;height:25.95pt;z-index:9;mso-position-horizontal-relative:page;mso-position-vertical-relative:page" stroked="f">
            <v:textbox style="mso-next-textbox:#_x0000_s23578" inset="0,0,0,0">
              <w:txbxContent>
                <w:p w:rsidR="00D45D11" w:rsidRDefault="00D45D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579" o:spid="_x0000_s1033" type="#_x0000_t202" style="position:absolute;left:0;text-align:left;margin-left:315.4pt;margin-top:663.1pt;width:196.2pt;height:29.7pt;z-index:8;mso-position-horizontal-relative:page;mso-position-vertical-relative:page" stroked="f">
            <v:textbox style="mso-next-textbox:#_x0000_s23579" inset="0,0,0,0">
              <w:txbxContent>
                <w:p w:rsidR="00D45D11" w:rsidRDefault="00D45D11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ע"ר מס' 923 מיום 5.9.39 , תוס' 1, עמ' 79</w:t>
                  </w:r>
                </w:p>
                <w:p w:rsidR="00D45D11" w:rsidRPr="00517FBF" w:rsidRDefault="00D45D11">
                  <w:pPr>
                    <w:pStyle w:val="OCRStyle2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1390 מיום 28.12.44, תוס' 1,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0" o:spid="_x0000_s1034" type="#_x0000_t202" style="position:absolute;left:0;text-align:left;margin-left:86.9pt;margin-top:80.75pt;width:453.4pt;height:577.95pt;z-index:7;mso-position-horizontal-relative:page;mso-position-vertical-relative:page" stroked="f">
            <v:textbox style="mso-next-textbox:#_x0000_s2358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091"/>
                  </w:tblGrid>
                  <w:tr w:rsidR="00D45D11" w:rsidRPr="00517FB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</w:tcPr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הפיתוח לא תהא רשאית לממיר מקרקעים, שאינם קרקע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עוברת לציבור, אלא אם הוצעו תחילה לקרן הקיימת לישראל, והקרן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לישראל לא הסכימה לרכשם תוך תקופה שקבעה רשות הפיתוח?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הסך הכולל של מקרקעים, שאינם קרקע עוברת לציבור, שרשות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 תמכור או שתעביר את זכות הבעלות עליהם בדרך אחרת, לא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100,000 דונם: אך לצורך פסקת משנה זו לא יובאו בחשבון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מקרקעים שנרכשו על ידי גוף מן הגופים הנזכרים בפסקת משנה (א) :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מכירה של מקרקעים, בין קרקע עוברת לציבור ובין מקרקעים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או העברת זכות הבעלות עליהם בדרך אחרת, תהא על סי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הממשלה בכל מקרה ומקרה :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ללוות ולהלוות כספים, לקבל ולתת אשראי ולערוב לחובותיהם ולחוזיהם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אנשים אחרים;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לייסד חברות, אגודות שיתופיות, שותפויות וגופים אחרים, להצטרף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אליהם, וליזום ולעודד את ייסודם ;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לשמש אפוטרופוס, נאמן, סוכן או מורשה לכל אדם ובכל עניו: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להעסיק סוכנים, פקידים ושאר עובדים ולקבוע את תנאי שירותם :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לעשות כל דבר הדרוש לביצוע כל סמכות מסמכויותיה;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לבצע כל סמכות מסמכויותיה ביחד או בשותפות עם מוסדות המדינה,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 היהודית לארץ ישראל, הקרן הקיימת לישראל, רשויות מקומיות, חברות,</w:t>
                        </w:r>
                      </w:p>
                      <w:p w:rsidR="00D45D11" w:rsidRPr="00517FBF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אגודות שיתופיות וגופים או אנשים אחרים.</w:t>
                        </w:r>
                      </w:p>
                    </w:tc>
                  </w:tr>
                  <w:tr w:rsidR="00D45D11" w:rsidRPr="00517FB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45D11" w:rsidRPr="00517FBF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דין-וחשבון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45D11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תגיש לכנסת דין -וחשבון על פעולותיה של רשות הפיתוח אחת</w:t>
                        </w:r>
                      </w:p>
                      <w:p w:rsidR="00D45D11" w:rsidRPr="00517FBF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לארבעה חדשים לפחות.</w:t>
                        </w:r>
                      </w:p>
                    </w:tc>
                  </w:tr>
                  <w:tr w:rsidR="00D45D11" w:rsidRPr="00517FB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45D11" w:rsidRPr="00517FBF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45D11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תקציבה של רשות הפיתוח ייקבע על פי חוק של הכנסת; רשות הפיתוח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תוציא כל הוצאה ולא תקבל עליה כל התחייבות כספית אלא אם היתה להוצאה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להתחייבות הקצבה מתאימה בתקציב שנקבע כך, או אושרה, לפי המלצת ועדת</w:t>
                        </w:r>
                      </w:p>
                      <w:p w:rsidR="00D45D11" w:rsidRPr="00517FBF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הכלכלה, על ידי ועדת הכספים של הכנסת.</w:t>
                        </w:r>
                      </w:p>
                    </w:tc>
                  </w:tr>
                  <w:tr w:rsidR="00D45D11" w:rsidRPr="00517FBF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D45D11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כללית</w:t>
                        </w:r>
                      </w:p>
                      <w:p w:rsidR="00D45D11" w:rsidRPr="00517FBF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למכירה וכו'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D45D11" w:rsidRDefault="00D45D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אף האמור בכל חוק אחר, תזכיר התאגדות, תקנות התאגדות, או מסמך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ובלי להתחשב עם כל איסור או הגבלה הנובעים מהם, מותר לכל אדם הזכאי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 - ובכלל זה המדינה, רשות מקומית, ממונה על רכוש האויב (כמשמעותו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המסחר עם האויב, 1939     1), האפוטרופוס הכללי (כמשמעותו בפקודת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הכללי,  1944       2),  חברה, אגודה שיתופית, נאמן, מנהל עזבון</w:t>
                        </w:r>
                      </w:p>
                      <w:p w:rsidR="00D45D11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ואפוטרופוס או אדם אחר המייצג אדם נטול כשרות משפטית - למסור את הנכס,</w:t>
                        </w:r>
                      </w:p>
                      <w:p w:rsidR="00D45D11" w:rsidRPr="00517FBF" w:rsidRDefault="00D45D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להעבירו בדרך אחרת, לרשות הפיתוח, ולהתקשר לשם כך בכל הסכם שיידרש.</w:t>
                        </w:r>
                      </w:p>
                    </w:tc>
                  </w:tr>
                </w:tbl>
                <w:p w:rsidR="00D45D11" w:rsidRDefault="00D45D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45D11" w:rsidRDefault="00D45D11">
      <w:pPr>
        <w:rPr>
          <w:rtl/>
        </w:rPr>
      </w:pPr>
      <w:r>
        <w:rPr>
          <w:rtl/>
        </w:rPr>
        <w:br w:type="page"/>
      </w:r>
    </w:p>
    <w:p w:rsidR="00D45D11" w:rsidRDefault="00000000">
      <w:pPr>
        <w:rPr>
          <w:rtl/>
        </w:rPr>
      </w:pPr>
      <w:r>
        <w:pict>
          <v:shape id="_x0000_s23581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581" inset="0,0,0,0">
              <w:txbxContent>
                <w:p w:rsidR="00D45D11" w:rsidRDefault="00D45D11">
                  <w:r>
                    <w:rPr>
                      <w:rtl/>
                    </w:rPr>
                    <w:t>280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2" o:spid="_x0000_s1036" type="#_x0000_t202" style="position:absolute;left:0;text-align:left;margin-left:504.45pt;margin-top:318.95pt;width:71.7pt;height:14.25pt;z-index:15;mso-position-horizontal-relative:page;mso-position-vertical-relative:page" stroked="f">
            <v:textbox style="mso-next-textbox:#_x0000_s23582" inset="0,0,0,0">
              <w:txbxContent>
                <w:p w:rsidR="00D45D11" w:rsidRDefault="00D45D11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3" o:spid="_x0000_s1037" type="#_x0000_t202" style="position:absolute;left:0;text-align:left;margin-left:362.9pt;margin-top:249.05pt;width:134.25pt;height:47.5pt;z-index:14;mso-position-horizontal-relative:page;mso-position-vertical-relative:page" stroked="f">
            <v:textbox style="mso-next-textbox:#_x0000_s23583" inset="0,0,0,0">
              <w:txbxContent>
                <w:p w:rsidR="00D45D11" w:rsidRDefault="00D45D11">
                  <w:pPr>
                    <w:pStyle w:val="OCRStyle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45D11" w:rsidRDefault="00D45D11">
                  <w:pPr>
                    <w:pStyle w:val="OCRStyle3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45D11" w:rsidRDefault="00D45D11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4" o:spid="_x0000_s1038" type="#_x0000_t202" style="position:absolute;left:0;text-align:left;margin-left:119.95pt;margin-top:205.1pt;width:100.4pt;height:41.2pt;z-index:13;mso-position-horizontal-relative:page;mso-position-vertical-relative:page" stroked="f">
            <v:textbox style="mso-next-textbox:#_x0000_s23584" inset="0,0,0,0">
              <w:txbxContent>
                <w:p w:rsidR="00D45D11" w:rsidRDefault="00D45D11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D45D11" w:rsidRDefault="00D45D11">
                  <w:pPr>
                    <w:pStyle w:val="OCRStyle3"/>
                    <w:ind w:left="55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5" o:spid="_x0000_s1039" type="#_x0000_t202" style="position:absolute;left:0;text-align:left;margin-left:238.35pt;margin-top:211.45pt;width:108.3pt;height:31.3pt;z-index:12;mso-position-horizontal-relative:page;mso-position-vertical-relative:page" stroked="f">
            <v:textbox style="mso-next-textbox:#_x0000_s23585" inset="0,0,0,0">
              <w:txbxContent>
                <w:p w:rsidR="00D45D11" w:rsidRDefault="00D45D11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45D11" w:rsidRDefault="00D45D11">
                  <w:pPr>
                    <w:pStyle w:val="OCRStyle3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86" o:spid="_x0000_s1040" type="#_x0000_t202" style="position:absolute;left:0;text-align:left;margin-left:112.05pt;margin-top:80.55pt;width:466.7pt;height:112.05pt;z-index:11;mso-position-horizontal-relative:page;mso-position-vertical-relative:page" stroked="f">
            <v:textbox style="mso-next-textbox:#_x0000_s235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381"/>
                  </w:tblGrid>
                  <w:tr w:rsidR="00D45D11" w:rsidRPr="00D45D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D45D11" w:rsidRDefault="00D45D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7* מכירת נכס מסוג המקרקעים לרשות הפיתוח, או העברת נכס כזה אליה בדרך</w:t>
                        </w:r>
                      </w:p>
                      <w:p w:rsidR="00D45D11" w:rsidRDefault="00D45D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לא תשמש יסוד לכל תביעה לפי ההוראות הכלולות בשער השלישי לפרק</w:t>
                        </w:r>
                      </w:p>
                      <w:p w:rsidR="00D45D11" w:rsidRDefault="00D45D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התשיעי של המג'לה, או לפי הוראות הסעיפים 41, 42, 44 ו-45 לחוק הקרקעות</w:t>
                        </w:r>
                      </w:p>
                      <w:p w:rsidR="00D45D11" w:rsidRDefault="00D45D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העותומני, על אף האמור באותן ההוראות.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D45D11" w:rsidRDefault="00D45D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מצרנות</w:t>
                        </w:r>
                      </w:p>
                      <w:p w:rsidR="00D45D11" w:rsidRDefault="00D45D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וכוי אינה</w:t>
                        </w:r>
                      </w:p>
                      <w:p w:rsidR="00D45D11" w:rsidRPr="00D45D11" w:rsidRDefault="00D45D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תוססת</w:t>
                        </w:r>
                      </w:p>
                    </w:tc>
                  </w:tr>
                  <w:tr w:rsidR="00D45D11" w:rsidRPr="00D45D11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D45D11" w:rsidRDefault="00D45D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שר האוצר ממונה על ביצוע חוק זה והוא רשאי להתקין תקנות בכל ענין</w:t>
                        </w:r>
                      </w:p>
                      <w:p w:rsidR="00D45D11" w:rsidRPr="00D45D11" w:rsidRDefault="00D45D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D45D11" w:rsidRPr="00D45D11" w:rsidRDefault="00D45D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45D11" w:rsidRDefault="00D45D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826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C165BE-5EC1-4915-9C0D-7A93757D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26F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7FB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45D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2008-04-06T17:56:00Z</dcterms:created>
  <dcterms:modified xsi:type="dcterms:W3CDTF">2008-04-06T17:56:00Z</dcterms:modified>
</cp:coreProperties>
</file>