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2381" w:rsidRDefault="00552381">
      <w:pPr>
        <w:rPr>
          <w:rtl/>
        </w:rPr>
      </w:pPr>
    </w:p>
    <w:p w:rsidR="005523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8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686" inset="0,0,0,0">
              <w:txbxContent>
                <w:p w:rsidR="00BD06BC" w:rsidRDefault="00BD06BC">
                  <w:r>
                    <w:rPr>
                      <w:rtl/>
                    </w:rPr>
                    <w:t>23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87" o:spid="_x0000_s1026" type="#_x0000_t202" style="position:absolute;left:0;text-align:left;margin-left:146.4pt;margin-top:530.9pt;width:434.2pt;height:267.9pt;z-index:4;mso-position-horizontal-relative:page;mso-position-vertical-relative:page" stroked="f">
            <v:textbox style="mso-next-textbox:#_x0000_s23687" inset="0,0,0,0">
              <w:txbxContent>
                <w:p w:rsidR="00BD06BC" w:rsidRDefault="00BD06BC">
                  <w:pPr>
                    <w:pStyle w:val="OCRStyle1"/>
                    <w:ind w:left="377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BD06BC" w:rsidRDefault="00BD06BC">
                  <w:pPr>
                    <w:pStyle w:val="OCRStyle1"/>
                    <w:ind w:left="3701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BD06BC" w:rsidRDefault="00BD06BC">
                  <w:pPr>
                    <w:pStyle w:val="OCRStyle1"/>
                    <w:ind w:left="3467"/>
                    <w:rPr>
                      <w:rtl/>
                    </w:rPr>
                  </w:pPr>
                  <w:r>
                    <w:rPr>
                      <w:rtl/>
                    </w:rPr>
                    <w:t>אמנה נוספת</w:t>
                  </w:r>
                </w:p>
                <w:p w:rsidR="00BD06BC" w:rsidRDefault="00BD06BC">
                  <w:pPr>
                    <w:pStyle w:val="OCRStyle1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שנעשתה בין ממשלת ישראל מצד אחד, ובין בנק לאומי לישראל בערבון מוגבל</w:t>
                  </w:r>
                </w:p>
                <w:p w:rsidR="00BD06BC" w:rsidRDefault="00BD06BC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מצד שני,</w:t>
                  </w:r>
                </w:p>
                <w:p w:rsidR="00BD06BC" w:rsidRDefault="00BD06BC">
                  <w:pPr>
                    <w:pStyle w:val="OCRStyle1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הואיל וביום י"ב באב תש"ח (17 באוגוסט 1948) נעשתה ונחתמה אמנה בין הממשלה</w:t>
                  </w:r>
                </w:p>
                <w:p w:rsidR="00BD06BC" w:rsidRDefault="00BD06BC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הזמנית ובין בנק אנגלו-פלשתינה בערבון מוגבל לפי הנוסח הבא בתוספת לפקודת שטרי</w:t>
                  </w:r>
                </w:p>
                <w:p w:rsidR="00BD06BC" w:rsidRDefault="00BD06BC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בנק, תש"ח-1948 ,ואותה אמנה תוקנה על ידי אמנות נוספות לפי הנוסח הבא בתוספת לחוק</w:t>
                  </w:r>
                </w:p>
                <w:p w:rsidR="00BD06BC" w:rsidRDefault="00BD06BC">
                  <w:pPr>
                    <w:pStyle w:val="OCRStyle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בטבת תשי"ג (30 בדצמבר 1952); הצעת החוק ודברי הסבר נתפרסמו</w:t>
                  </w:r>
                </w:p>
                <w:p w:rsidR="00BD06BC" w:rsidRDefault="00BD06BC">
                  <w:pPr>
                    <w:pStyle w:val="OCRStyle1"/>
                    <w:ind w:left="10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כהצעות חוק 141 מיום וי בכסלו תשי"ג (52 .24.11), עמ' 33</w:t>
                  </w:r>
                </w:p>
                <w:p w:rsidR="00BD06BC" w:rsidRDefault="00BD06BC">
                  <w:pPr>
                    <w:pStyle w:val="OCRStyle1"/>
                    <w:ind w:left="8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17 מיום ח' באב תש"ט (49 8 3), עמ' 136; ספר החוקים 57 מיום כ"ו באב תש"י</w:t>
                  </w:r>
                </w:p>
                <w:p w:rsidR="00BD06BC" w:rsidRDefault="00BD06BC">
                  <w:pPr>
                    <w:pStyle w:val="OCRStyle1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(50 8 9), עמ' 280</w:t>
                  </w:r>
                </w:p>
                <w:p w:rsidR="00BD06BC" w:rsidRDefault="00BD06BC">
                  <w:pPr>
                    <w:pStyle w:val="OCRStyle1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י"ב בטבת חש י"ג (30 בדצמבר 1952); הצעת החוק ודברי הסבר נתפרסמו</w:t>
                  </w:r>
                </w:p>
                <w:p w:rsidR="00BD06BC" w:rsidRDefault="00BD06BC">
                  <w:pPr>
                    <w:pStyle w:val="OCRStyle1"/>
                    <w:ind w:left="9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147 מיום ד' בטבת תשי"ג (52 .22.12), עמ' 86.</w:t>
                  </w:r>
                </w:p>
                <w:p w:rsidR="00BD06BC" w:rsidRPr="00552381" w:rsidRDefault="00BD06BC">
                  <w:pPr>
                    <w:pStyle w:val="OCRStyle1"/>
                    <w:ind w:left="8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15 מיום י"ב באב תש"ח (48 8 17), תוס' א', עמ' 33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88" o:spid="_x0000_s1027" type="#_x0000_t202" style="position:absolute;left:0;text-align:left;margin-left:81.05pt;margin-top:403.8pt;width:493.2pt;height:120.8pt;z-index:3;mso-position-horizontal-relative:page;mso-position-vertical-relative:page" stroked="f">
            <v:textbox style="mso-next-textbox:#_x0000_s2368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668"/>
                  </w:tblGrid>
                  <w:tr w:rsidR="00BD06BC" w:rsidRPr="0055238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D06BC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לחתום</w:t>
                        </w:r>
                      </w:p>
                      <w:p w:rsidR="00BD06BC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האמנה</w:t>
                        </w:r>
                      </w:p>
                      <w:p w:rsidR="00BD06BC" w:rsidRPr="00552381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הנוספת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D06BC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ממשלת ישראל ובנק לאימי לישראל בערבון מוגבל יהיו רשאים לחתום על האמנה</w:t>
                        </w:r>
                      </w:p>
                      <w:p w:rsidR="00BD06BC" w:rsidRPr="00552381" w:rsidRDefault="00BD0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לפי הנוסח הבא בתוספת לחוק זה (הנוסח החתום ייקרא להלן - האמנה הנוספת).</w:t>
                        </w:r>
                      </w:p>
                    </w:tc>
                  </w:tr>
                  <w:tr w:rsidR="00BD06BC" w:rsidRPr="0055238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D06BC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חלות הוראות</w:t>
                        </w:r>
                      </w:p>
                      <w:p w:rsidR="00BD06BC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שטרי</w:t>
                        </w:r>
                      </w:p>
                      <w:p w:rsidR="00BD06BC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בנק, תש"ח-</w:t>
                        </w:r>
                      </w:p>
                      <w:p w:rsidR="00BD06BC" w:rsidRPr="00552381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1948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D06BC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הוראות פקודת שטרי בנק, תש"ח-21948, פרט לסעיפים 13 ו-14 בה, החלות</w:t>
                        </w:r>
                      </w:p>
                      <w:p w:rsidR="00BD06BC" w:rsidRDefault="00BD0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הפקודה האמורה, האמנה הנזכרת בה והצדדים לה, יחולו גם לגבי חוק זה, האמנה</w:t>
                        </w:r>
                      </w:p>
                      <w:p w:rsidR="00BD06BC" w:rsidRPr="00552381" w:rsidRDefault="00BD0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והצדדים לה, בהתאמות שהענין מחייבן.</w:t>
                        </w:r>
                      </w:p>
                    </w:tc>
                  </w:tr>
                  <w:tr w:rsidR="00BD06BC" w:rsidRPr="0055238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D06BC" w:rsidRPr="00552381" w:rsidRDefault="00BD0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D06BC" w:rsidRPr="00552381" w:rsidRDefault="00BD0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תקפו של חוק זה הוא מיום י"ג בטבת תשי"ג (31 בדצמבר 1952).</w:t>
                        </w:r>
                      </w:p>
                    </w:tc>
                  </w:tr>
                </w:tbl>
                <w:p w:rsidR="00BD06BC" w:rsidRDefault="00BD06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89" o:spid="_x0000_s1028" type="#_x0000_t202" style="position:absolute;left:0;text-align:left;margin-left:93.75pt;margin-top:357.45pt;width:62.75pt;height:13.65pt;z-index:2;mso-position-horizontal-relative:page;mso-position-vertical-relative:page" stroked="f">
            <v:textbox style="mso-next-textbox:#_x0000_s23689" inset="0,0,0,0">
              <w:txbxContent>
                <w:p w:rsidR="00BD06BC" w:rsidRDefault="00BD06BC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מספר 10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90" o:spid="_x0000_s1029" type="#_x0000_t202" style="position:absolute;left:0;text-align:left;margin-left:263.65pt;margin-top:367.35pt;width:201.55pt;height:24.55pt;z-index:1;mso-position-horizontal-relative:page;mso-position-vertical-relative:page" stroked="f">
            <v:textbox style="mso-next-textbox:#_x0000_s23690" inset="0,0,0,0">
              <w:txbxContent>
                <w:p w:rsidR="00BD06BC" w:rsidRPr="00552381" w:rsidRDefault="00BD06BC">
                  <w:pPr>
                    <w:pStyle w:val="OCRStyle1"/>
                    <w:ind w:left="34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שטרי בנק, תשי"ג-1952 **</w:t>
                  </w:r>
                </w:p>
              </w:txbxContent>
            </v:textbox>
            <w10:wrap anchorx="page" anchory="page"/>
          </v:shape>
        </w:pict>
      </w:r>
    </w:p>
    <w:p w:rsidR="00BD06BC" w:rsidRDefault="00BD06BC">
      <w:pPr>
        <w:rPr>
          <w:rtl/>
        </w:rPr>
      </w:pPr>
      <w:r>
        <w:rPr>
          <w:rtl/>
        </w:rPr>
        <w:br w:type="page"/>
      </w:r>
    </w:p>
    <w:p w:rsidR="00BD06BC" w:rsidRDefault="00000000">
      <w:pPr>
        <w:rPr>
          <w:rtl/>
        </w:rPr>
      </w:pPr>
      <w:r>
        <w:pict>
          <v:shape id="_x0000_s23691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691" inset="0,0,0,0">
              <w:txbxContent>
                <w:p w:rsidR="00BD06BC" w:rsidRDefault="00BD06BC">
                  <w:r>
                    <w:rPr>
                      <w:rtl/>
                    </w:rPr>
                    <w:t>24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92" o:spid="_x0000_s1031" type="#_x0000_t202" style="position:absolute;left:0;text-align:left;margin-left:506.3pt;margin-top:476.2pt;width:59.4pt;height:22.75pt;z-index:10;mso-position-horizontal-relative:page;mso-position-vertical-relative:page" stroked="f">
            <v:textbox style="mso-next-textbox:#_x0000_s23692" inset="0,0,0,0">
              <w:txbxContent>
                <w:p w:rsidR="00BD06BC" w:rsidRDefault="00BD06BC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מספר 11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93" o:spid="_x0000_s1032" type="#_x0000_t202" style="position:absolute;left:0;text-align:left;margin-left:375.8pt;margin-top:398.6pt;width:88.5pt;height:32.85pt;z-index:9;mso-position-horizontal-relative:page;mso-position-vertical-relative:page" stroked="f">
            <v:textbox style="mso-next-textbox:#_x0000_s23693" inset="0,0,0,0">
              <w:txbxContent>
                <w:p w:rsidR="00BD06BC" w:rsidRDefault="00BD06BC">
                  <w:pPr>
                    <w:pStyle w:val="OCRStyle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D06BC" w:rsidRDefault="00BD06BC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94" o:spid="_x0000_s1033" type="#_x0000_t202" style="position:absolute;left:0;text-align:left;margin-left:107.5pt;margin-top:366.7pt;width:81.2pt;height:31.9pt;z-index:8;mso-position-horizontal-relative:page;mso-position-vertical-relative:page" stroked="f">
            <v:textbox style="mso-next-textbox:#_x0000_s23694" inset="0,0,0,0">
              <w:txbxContent>
                <w:p w:rsidR="00BD06BC" w:rsidRDefault="00BD06BC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D06BC" w:rsidRDefault="00BD06BC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95" o:spid="_x0000_s1034" type="#_x0000_t202" style="position:absolute;left:0;text-align:left;margin-left:237.2pt;margin-top:368.5pt;width:102.95pt;height:30.1pt;z-index:7;mso-position-horizontal-relative:page;mso-position-vertical-relative:page" stroked="f">
            <v:textbox style="mso-next-textbox:#_x0000_s23695" inset="0,0,0,0">
              <w:txbxContent>
                <w:p w:rsidR="00BD06BC" w:rsidRDefault="00BD06BC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D06BC" w:rsidRDefault="00BD06BC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96" o:spid="_x0000_s1035" type="#_x0000_t202" style="position:absolute;left:0;text-align:left;margin-left:84.75pt;margin-top:64.75pt;width:422.55pt;height:291.05pt;z-index:6;mso-position-horizontal-relative:page;mso-position-vertical-relative:page" stroked="f">
            <v:textbox style="mso-next-textbox:#_x0000_s23696" inset="0,0,0,0">
              <w:txbxContent>
                <w:p w:rsidR="00BD06BC" w:rsidRDefault="00BD06BC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שטרי בנק, תש"ט-1949 1, בתוספת לחוק שטרי בנק, תשי"א--1951  2 (לאמנה המתוקנת</w:t>
                  </w:r>
                </w:p>
                <w:p w:rsidR="00BD06BC" w:rsidRDefault="00BD06BC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ייקרא להלן - האמנה העיקרית);</w:t>
                  </w:r>
                </w:p>
                <w:p w:rsidR="00BD06BC" w:rsidRDefault="00BD06BC">
                  <w:pPr>
                    <w:pStyle w:val="OCRStyle2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והואיל וביום כ"ו באדר ב' תשי"א (3 באפריל 1951) נתן בית המשפט המחוזי בתל</w:t>
                  </w:r>
                </w:p>
                <w:p w:rsidR="00BD06BC" w:rsidRDefault="00BD06BC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אביב-יפו צו בהתאם לסעיף 9ו ו א' לניידת החברות 3, לפיו בא בנק לאומי לישראל בערבון</w:t>
                  </w:r>
                </w:p>
                <w:p w:rsidR="00BD06BC" w:rsidRDefault="00BD06BC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מוגבל במקום בנק אנגלו-פלשתינה בערבון מוגבל לכל דבר וענין, ובכלל זה לצורך האמנה</w:t>
                  </w:r>
                </w:p>
                <w:p w:rsidR="00BD06BC" w:rsidRDefault="00BD06BC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האמורה' כאילו שני הבנקים האמורים היו זהים ן</w:t>
                  </w:r>
                </w:p>
                <w:p w:rsidR="00BD06BC" w:rsidRDefault="00BD06BC">
                  <w:pPr>
                    <w:pStyle w:val="OCRStyle2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והואיל וברצון ממשלת ישראל ובנק לאומי לישראל בערבון מוגבל להכניס תיקון</w:t>
                  </w:r>
                </w:p>
                <w:p w:rsidR="00BD06BC" w:rsidRDefault="00BD06BC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באמנה העיקרית ו</w:t>
                  </w:r>
                </w:p>
                <w:p w:rsidR="00BD06BC" w:rsidRDefault="00BD06BC">
                  <w:pPr>
                    <w:pStyle w:val="OCRStyle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לכן הוסכם בזה כדלקמן:</w:t>
                  </w:r>
                </w:p>
                <w:p w:rsidR="00BD06BC" w:rsidRDefault="00BD06BC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1, באמנה נוספת זו יפורש כל מונח כבנוסח האמנה העיקרית :</w:t>
                  </w:r>
                </w:p>
                <w:p w:rsidR="00BD06BC" w:rsidRDefault="00BD06BC">
                  <w:pPr>
                    <w:pStyle w:val="OCRStyle2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2. במקום סעיף 16 לאמנה העיקרית יבוא סעיף זה:</w:t>
                  </w:r>
                </w:p>
                <w:p w:rsidR="00BD06BC" w:rsidRDefault="00BD06BC">
                  <w:pPr>
                    <w:pStyle w:val="OCRStyle2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,,16. אמנה זו תישאר בת תוקף עד יום כ"ה בטבת תשי"ד (31 בדצמבר 1953)</w:t>
                  </w:r>
                </w:p>
                <w:p w:rsidR="00BD06BC" w:rsidRDefault="00BD06BC">
                  <w:pPr>
                    <w:pStyle w:val="OCRStyle2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ועד בכלל, בתנאי שהממשלה תהיה רשאית לבטלה לפני כן בסוף כל רבע שנה</w:t>
                  </w:r>
                </w:p>
                <w:p w:rsidR="00BD06BC" w:rsidRDefault="00BD06BC">
                  <w:pPr>
                    <w:pStyle w:val="OCRStyle2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על ידי מתן הודעה מוקדמת בכתב לבנק של לא פחות מחצי שנה,"</w:t>
                  </w:r>
                </w:p>
                <w:p w:rsidR="00BD06BC" w:rsidRDefault="00BD06BC">
                  <w:pPr>
                    <w:pStyle w:val="OCRStyle2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ולראיה באו הצדדים על החתום בירושלים ביום (תאריך החתימה)</w:t>
                  </w:r>
                </w:p>
                <w:p w:rsidR="00BD06BC" w:rsidRPr="00BD06BC" w:rsidRDefault="00BD06BC">
                  <w:pPr>
                    <w:pStyle w:val="OCRStyle2"/>
                    <w:ind w:left="1001"/>
                  </w:pPr>
                  <w:r>
                    <w:rPr>
                      <w:rtl/>
                    </w:rPr>
                    <w:t>בנק לאומי לישראל בערבון מוגבל ממשלת ישראל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523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3732F1-5CDE-46C9-B55A-A0F383F4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238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D06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2008-04-06T18:21:00Z</dcterms:created>
  <dcterms:modified xsi:type="dcterms:W3CDTF">2008-04-06T18:21:00Z</dcterms:modified>
</cp:coreProperties>
</file>