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F335B" w:rsidRDefault="007F335B">
      <w:pPr>
        <w:rPr>
          <w:rtl/>
        </w:rPr>
      </w:pPr>
    </w:p>
    <w:p w:rsidR="007F335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69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3697" inset="0,0,0,0">
              <w:txbxContent>
                <w:p w:rsidR="00E7327C" w:rsidRDefault="00E7327C">
                  <w:r>
                    <w:rPr>
                      <w:rtl/>
                    </w:rPr>
                    <w:t>230                                          ספר החוקים 80                  כ"ט בסיוון התשי"א 03.07.1951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98" o:spid="_x0000_s1026" type="#_x0000_t202" style="position:absolute;left:0;text-align:left;margin-left:67.4pt;margin-top:482.5pt;width:434pt;height:298.4pt;z-index:3;mso-position-horizontal-relative:page;mso-position-vertical-relative:page" stroked="f">
            <v:textbox style="mso-next-textbox:#_x0000_s23698" inset="0,0,0,0">
              <w:txbxContent>
                <w:p w:rsidR="00E7327C" w:rsidRDefault="00E7327C">
                  <w:pPr>
                    <w:pStyle w:val="OCRStyle1"/>
                    <w:ind w:left="3413"/>
                    <w:rPr>
                      <w:rtl/>
                    </w:rPr>
                  </w:pPr>
                  <w:r>
                    <w:rPr>
                      <w:rtl/>
                    </w:rPr>
                    <w:t>תוספת</w:t>
                  </w:r>
                </w:p>
                <w:p w:rsidR="00E7327C" w:rsidRDefault="00E7327C">
                  <w:pPr>
                    <w:pStyle w:val="OCRStyle1"/>
                    <w:ind w:left="3449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E7327C" w:rsidRDefault="00E7327C">
                  <w:pPr>
                    <w:pStyle w:val="OCRStyle1"/>
                    <w:ind w:left="3208"/>
                    <w:rPr>
                      <w:rtl/>
                    </w:rPr>
                  </w:pPr>
                  <w:r>
                    <w:rPr>
                      <w:rtl/>
                    </w:rPr>
                    <w:t>אמנה נוספת</w:t>
                  </w:r>
                </w:p>
                <w:p w:rsidR="00E7327C" w:rsidRDefault="00E7327C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שנעשתה בין ממשלת ישראל מצד אחד, ובין בנק לאומי לישראל בערבון מוגבל מצד שני.</w:t>
                  </w:r>
                </w:p>
                <w:p w:rsidR="00E7327C" w:rsidRDefault="00E7327C">
                  <w:pPr>
                    <w:pStyle w:val="OCRStyle1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הואיל וביום י״ב באב תש״ח (17 באוגוסט 1948) נעשתה ונחתמה אמנה בין הממשלה</w:t>
                  </w:r>
                </w:p>
                <w:p w:rsidR="00E7327C" w:rsidRDefault="00E7327C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הזמנית ובין בנק אנגלו-פלשתינה בערבון מוגבל לפי הנוסח הבא בתוספת לפקודת שטרי</w:t>
                  </w:r>
                </w:p>
                <w:p w:rsidR="00E7327C" w:rsidRDefault="00E7327C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בנק, תש״ח—1948, ואותה אמנה תוקנה על ידי אמנה נוספת לפי הנוסח הבא בתוספת</w:t>
                  </w:r>
                </w:p>
                <w:p w:rsidR="00E7327C" w:rsidRDefault="00E7327C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לחוק שטרי בנק, תש״ט—21949 (לאמנה המתוקנת ייקרא להלן — האמנה העיקרית);</w:t>
                  </w:r>
                </w:p>
                <w:p w:rsidR="00E7327C" w:rsidRDefault="00E7327C">
                  <w:pPr>
                    <w:pStyle w:val="OCRStyle1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 xml:space="preserve">והואיל וביום כ״ו באדר ב׳ תשי״א (3 באפריל 1951) נתן בית המשפט המחוזי </w:t>
                  </w:r>
                </w:p>
                <w:p w:rsidR="00E7327C" w:rsidRDefault="00E7327C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בתל אביב-יפו צו בהתאם לסעיף 119א(5) לפקודת החברות 3, לפיו אישר את הסידור</w:t>
                  </w:r>
                </w:p>
                <w:p w:rsidR="00E7327C" w:rsidRDefault="00E7327C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שנעשה ביום י״ב באדר א׳ תשי״א (18 בפברואר 1951) בין בנק לאומי לישראל בערבון</w:t>
                  </w:r>
                </w:p>
                <w:p w:rsidR="00E7327C" w:rsidRDefault="00E7327C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מוגבל ובין בנק אנגלו-פלשתינה בערבון מוגבל;</w:t>
                  </w:r>
                </w:p>
                <w:p w:rsidR="00E7327C" w:rsidRDefault="00E7327C">
                  <w:pPr>
                    <w:pStyle w:val="OCRStyle1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כ״א בסיון תשי״א (25 ביוני 1951); הצעת החוק ודברי הסבר נתפרסמו בהצעות חוק</w:t>
                  </w:r>
                </w:p>
                <w:p w:rsidR="00E7327C" w:rsidRDefault="00E7327C">
                  <w:pPr>
                    <w:pStyle w:val="OCRStyle1"/>
                    <w:ind w:left="8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82 מיום ט׳ בסיון תשי״א (13.6.51), עמ׳230.</w:t>
                  </w:r>
                </w:p>
                <w:p w:rsidR="00E7327C" w:rsidRDefault="00E7327C">
                  <w:pPr>
                    <w:pStyle w:val="OCRStyle1"/>
                    <w:ind w:left="63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ע״ר מס׳ 15 מיום י״ב באב תש״ח (17.8.48), תוס׳ א/ עט׳ .33</w:t>
                  </w:r>
                </w:p>
                <w:p w:rsidR="00E7327C" w:rsidRDefault="00E7327C">
                  <w:pPr>
                    <w:pStyle w:val="OCRStyle1"/>
                    <w:ind w:left="6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ספר החוקים 12 מיום כ״ב בסיון תש״ט (19.6.49), עמ׳ .53</w:t>
                  </w:r>
                </w:p>
                <w:p w:rsidR="00E7327C" w:rsidRPr="007F335B" w:rsidRDefault="00E7327C">
                  <w:pPr>
                    <w:pStyle w:val="OCRStyle1"/>
                    <w:ind w:left="64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א״י כרך א/ פרק כ״ב, עמ׳ 155; ספר החוקים 58 מיום הי באלול תש״י (8.8.50), עמ׳ .316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99" o:spid="_x0000_s1027" type="#_x0000_t202" style="position:absolute;left:0;text-align:left;margin-left:73.7pt;margin-top:381.35pt;width:504.5pt;height:87.5pt;z-index:2;mso-position-horizontal-relative:page;mso-position-vertical-relative:page" stroked="f">
            <v:textbox style="mso-next-textbox:#_x0000_s23699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42"/>
                    <w:gridCol w:w="1429"/>
                  </w:tblGrid>
                  <w:tr w:rsidR="00E7327C" w:rsidRPr="007F335B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E7327C" w:rsidRDefault="00E7327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ממשלת ישראל ובנק לאומי לישראל בערבון מוגבל יהיו רשאים לחתום על האמנה</w:t>
                        </w:r>
                      </w:p>
                      <w:p w:rsidR="00E7327C" w:rsidRPr="007F335B" w:rsidRDefault="00E7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הנוספת לפי הנוסח הבא בתוספת לחוק זה (הנוסח החתום ייקרא להלן — האמנה הנוספת).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E7327C" w:rsidRDefault="00E732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לחתום</w:t>
                        </w:r>
                      </w:p>
                      <w:p w:rsidR="00E7327C" w:rsidRDefault="00E732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ע? האמנה</w:t>
                        </w:r>
                      </w:p>
                      <w:p w:rsidR="00E7327C" w:rsidRPr="007F335B" w:rsidRDefault="00E732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הנוספת</w:t>
                        </w:r>
                      </w:p>
                    </w:tc>
                  </w:tr>
                  <w:tr w:rsidR="00E7327C" w:rsidRPr="007F335B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E7327C" w:rsidRDefault="00E732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כל הוראות פקודת שטרי בנק, תש״ח—1948 1, פרט לסעיפים 13 ו-14 בה, החלות</w:t>
                        </w:r>
                      </w:p>
                      <w:p w:rsidR="00E7327C" w:rsidRDefault="00E7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הפקודה האמורה, האמנה הנזכרת בה והצדדים לה, יחולו גם לגבי חוק זה, האמנה</w:t>
                        </w:r>
                      </w:p>
                      <w:p w:rsidR="00E7327C" w:rsidRPr="007F335B" w:rsidRDefault="00E732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הנוספת והצדדים לה, בהתאמות שהענין מחייבן.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E7327C" w:rsidRDefault="00E732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חלות הוראות</w:t>
                        </w:r>
                      </w:p>
                      <w:p w:rsidR="00E7327C" w:rsidRDefault="00E732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שטרי</w:t>
                        </w:r>
                      </w:p>
                      <w:p w:rsidR="00E7327C" w:rsidRDefault="00E732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בנק, תש״ח—</w:t>
                        </w:r>
                      </w:p>
                      <w:p w:rsidR="00E7327C" w:rsidRPr="007F335B" w:rsidRDefault="00E732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1948</w:t>
                        </w:r>
                      </w:p>
                    </w:tc>
                  </w:tr>
                </w:tbl>
                <w:p w:rsidR="00E7327C" w:rsidRDefault="00E7327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700" o:spid="_x0000_s1028" type="#_x0000_t202" style="position:absolute;left:0;text-align:left;margin-left:189.55pt;margin-top:357.75pt;width:207.9pt;height:19.8pt;z-index:1;mso-position-horizontal-relative:page;mso-position-vertical-relative:page" stroked="f">
            <v:textbox style="mso-next-textbox:#_x0000_s23700" inset="0,0,0,0">
              <w:txbxContent>
                <w:p w:rsidR="00E7327C" w:rsidRPr="007F335B" w:rsidRDefault="00E7327C">
                  <w:pPr>
                    <w:pStyle w:val="OCRStyle1"/>
                    <w:ind w:left="48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שטרי בנק, תשי״א-1951 *</w:t>
                  </w:r>
                </w:p>
              </w:txbxContent>
            </v:textbox>
            <w10:wrap anchorx="page" anchory="page"/>
          </v:shape>
        </w:pict>
      </w:r>
    </w:p>
    <w:p w:rsidR="0032305C" w:rsidRDefault="0032305C">
      <w:pPr>
        <w:rPr>
          <w:rtl/>
        </w:rPr>
      </w:pPr>
      <w:r>
        <w:rPr>
          <w:rtl/>
        </w:rPr>
        <w:br w:type="page"/>
      </w:r>
    </w:p>
    <w:p w:rsidR="0032305C" w:rsidRDefault="00000000">
      <w:pPr>
        <w:rPr>
          <w:rtl/>
        </w:rPr>
      </w:pPr>
      <w:r>
        <w:pict>
          <v:shape id="_x0000_s2370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3701" inset="0,0,0,0">
              <w:txbxContent>
                <w:p w:rsidR="00E7327C" w:rsidRDefault="00E7327C">
                  <w:r>
                    <w:rPr>
                      <w:rtl/>
                    </w:rPr>
                    <w:t>231                                          ספר החוקים 80                  כ"ט בסיוון התשי"א 03.07.1951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02" o:spid="_x0000_s1030" type="#_x0000_t202" style="position:absolute;left:0;text-align:left;margin-left:372.3pt;margin-top:747.55pt;width:193.65pt;height:31.9pt;z-index:9;mso-position-horizontal-relative:page;mso-position-vertical-relative:page" stroked="f">
            <v:textbox style="mso-next-textbox:#_x0000_s23702" inset="0,0,0,0">
              <w:txbxContent>
                <w:p w:rsidR="00E7327C" w:rsidRDefault="00E7327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3703" o:spid="_x0000_s1031" type="#_x0000_t202" style="position:absolute;left:0;text-align:left;margin-left:138.85pt;margin-top:376.5pt;width:130.9pt;height:56.05pt;z-index:8;mso-position-horizontal-relative:page;mso-position-vertical-relative:page" stroked="f">
            <v:textbox style="mso-next-textbox:#_x0000_s23703" inset="0,0,0,0">
              <w:txbxContent>
                <w:p w:rsidR="00E7327C" w:rsidRDefault="00E7327C">
                  <w:pPr>
                    <w:pStyle w:val="OCRStyle2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פנחס לבון</w:t>
                  </w:r>
                </w:p>
                <w:p w:rsidR="00E7327C" w:rsidRDefault="00E7327C">
                  <w:pPr>
                    <w:pStyle w:val="OCRStyle2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שר החקלאות</w:t>
                  </w:r>
                </w:p>
                <w:p w:rsidR="00E7327C" w:rsidRDefault="00E7327C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04" o:spid="_x0000_s1032" type="#_x0000_t202" style="position:absolute;left:0;text-align:left;margin-left:280.25pt;margin-top:373.9pt;width:120.4pt;height:50.9pt;z-index:7;mso-position-horizontal-relative:page;mso-position-vertical-relative:page" stroked="f">
            <v:textbox style="mso-next-textbox:#_x0000_s23704" inset="0,0,0,0">
              <w:txbxContent>
                <w:p w:rsidR="00E7327C" w:rsidRDefault="00E7327C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7327C" w:rsidRDefault="00E7327C">
                  <w:pPr>
                    <w:pStyle w:val="OCRStyle2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05" o:spid="_x0000_s1033" type="#_x0000_t202" style="position:absolute;left:0;text-align:left;margin-left:438.65pt;margin-top:423.8pt;width:122.95pt;height:40.6pt;z-index:6;mso-position-horizontal-relative:page;mso-position-vertical-relative:page" stroked="f">
            <v:textbox style="mso-next-textbox:#_x0000_s23705" inset="0,0,0,0">
              <w:txbxContent>
                <w:p w:rsidR="00E7327C" w:rsidRDefault="00E7327C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E7327C" w:rsidRDefault="00E7327C">
                  <w:pPr>
                    <w:pStyle w:val="OCRStyle2"/>
                    <w:ind w:left="3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06" o:spid="_x0000_s1034" type="#_x0000_t202" style="position:absolute;left:0;text-align:left;margin-left:138.05pt;margin-top:64.05pt;width:433.8pt;height:292.65pt;z-index:5;mso-position-horizontal-relative:page;mso-position-vertical-relative:page" stroked="f">
            <v:textbox style="mso-next-textbox:#_x0000_s23706" inset="0,0,0,0">
              <w:txbxContent>
                <w:p w:rsidR="00E7327C" w:rsidRDefault="00E7327C">
                  <w:pPr>
                    <w:pStyle w:val="OCRStyle2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והואיל, ובין היתר, ציווה בית המשפט בצו האמור כי מיום כ"ה בניסן תשי"א</w:t>
                  </w:r>
                </w:p>
                <w:p w:rsidR="00E7327C" w:rsidRDefault="00E7327C">
                  <w:pPr>
                    <w:pStyle w:val="OCRStyle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(1 במאי 1951) ואילך יבוא בנק לאומי לישראל בערבון מוגבל במקום בנק אנגלו-פלשתינה</w:t>
                  </w:r>
                </w:p>
                <w:p w:rsidR="00E7327C" w:rsidRDefault="00E7327C">
                  <w:pPr>
                    <w:pStyle w:val="OCRStyle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בערבון מוגבל לכל דבר וענין, וללא הפסק, כאילו שני הבנקים האמורים היו זהים;</w:t>
                  </w:r>
                </w:p>
                <w:p w:rsidR="00E7327C" w:rsidRDefault="00E7327C">
                  <w:pPr>
                    <w:pStyle w:val="OCRStyle2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והואיל ולפי סעיף 119א(7) לפקודת החברות בא בנק לאומי לישראל בערבון מוגבל</w:t>
                  </w:r>
                </w:p>
                <w:p w:rsidR="00E7327C" w:rsidRDefault="00E7327C">
                  <w:pPr>
                    <w:pStyle w:val="OCRStyle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במקום בנק אנגלו-פלשתינה בערבון מוגבל גם לצורך האמנה העיקרית ?</w:t>
                  </w:r>
                </w:p>
                <w:p w:rsidR="00E7327C" w:rsidRDefault="00E7327C">
                  <w:pPr>
                    <w:pStyle w:val="OCRStyle2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והואיל וברצון ממשלת ישראל ובנק לאומי לישראל בערבון מוגבל להכניס תיקון</w:t>
                  </w:r>
                </w:p>
                <w:p w:rsidR="00E7327C" w:rsidRDefault="00E7327C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באמנה העיקרית;</w:t>
                  </w:r>
                </w:p>
                <w:p w:rsidR="00E7327C" w:rsidRDefault="00E7327C">
                  <w:pPr>
                    <w:pStyle w:val="OCRStyle2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לכן הוסכם בזה כדלקמן :</w:t>
                  </w:r>
                </w:p>
                <w:p w:rsidR="00E7327C" w:rsidRDefault="00E7327C">
                  <w:pPr>
                    <w:pStyle w:val="OCRStyle2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>1. באמנה נוספת זו יפורש כל מונח כבנוסח האמנה העיקרית ;</w:t>
                  </w:r>
                </w:p>
                <w:p w:rsidR="00E7327C" w:rsidRDefault="00E7327C">
                  <w:pPr>
                    <w:pStyle w:val="OCRStyle2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2. במקום סעיף 16 לאמנה העיקרית יבוא סעיף זה:</w:t>
                  </w:r>
                </w:p>
                <w:p w:rsidR="00E7327C" w:rsidRDefault="00E7327C">
                  <w:pPr>
                    <w:pStyle w:val="OCRStyle2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"16, אמנה זו תישאר בת תוקף עד ליום י"ג בטבת תשי"ג (31 בדצמבר 1952)</w:t>
                  </w:r>
                </w:p>
                <w:p w:rsidR="00E7327C" w:rsidRDefault="00E7327C">
                  <w:pPr>
                    <w:pStyle w:val="OCRStyle2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ועד בכלל, בתנאי שהממשלה תהא רשאית לבטלה לפני כן בסוף כל רבע שנה</w:t>
                  </w:r>
                </w:p>
                <w:p w:rsidR="00E7327C" w:rsidRDefault="00E7327C">
                  <w:pPr>
                    <w:pStyle w:val="OCRStyle2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על ידי מתן הודעה מוקדמת בכתב לבנק של לא פחות מחצי שנה."</w:t>
                  </w:r>
                </w:p>
                <w:p w:rsidR="00E7327C" w:rsidRDefault="00E7327C">
                  <w:pPr>
                    <w:pStyle w:val="OCRStyle2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>ולראיה באו הצדדים על החתום בירושלים ביום (תאריך החתימה)</w:t>
                  </w:r>
                </w:p>
                <w:p w:rsidR="00E7327C" w:rsidRDefault="00E7327C">
                  <w:pPr>
                    <w:pStyle w:val="OCRStyle2"/>
                    <w:ind w:left="338"/>
                  </w:pPr>
                  <w:r>
                    <w:rPr>
                      <w:rtl/>
                    </w:rPr>
                    <w:t>בנק לאומי לישראל בערבון מוגבל ממשלת ישראל</w:t>
                  </w:r>
                </w:p>
              </w:txbxContent>
            </v:textbox>
            <w10:wrap anchorx="page" anchory="page"/>
          </v:shape>
        </w:pict>
      </w:r>
    </w:p>
    <w:p w:rsidR="00E7327C" w:rsidRDefault="00E7327C">
      <w:pPr>
        <w:rPr>
          <w:rtl/>
        </w:rPr>
      </w:pPr>
      <w:r>
        <w:rPr>
          <w:rtl/>
        </w:rPr>
        <w:br w:type="page"/>
      </w:r>
    </w:p>
    <w:p w:rsidR="00E7327C" w:rsidRDefault="00000000">
      <w:pPr>
        <w:rPr>
          <w:rtl/>
        </w:rPr>
      </w:pPr>
      <w:r>
        <w:pict>
          <v:shape id="_x0000_s23707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3707" inset="0,0,0,0">
              <w:txbxContent>
                <w:p w:rsidR="00E7327C" w:rsidRDefault="00E7327C">
                  <w:r>
                    <w:rPr>
                      <w:rtl/>
                    </w:rPr>
                    <w:t>232                                          ספר החוקים 80                  כ"ט בסיוון התשי"א 03.07.1951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08" o:spid="_x0000_s1036" type="#_x0000_t202" style="position:absolute;left:0;text-align:left;margin-left:84.5pt;margin-top:737.2pt;width:155.45pt;height:22.55pt;z-index:11;mso-position-horizontal-relative:page;mso-position-vertical-relative:page" stroked="f">
            <v:textbox style="mso-next-textbox:#_x0000_s23708" inset="0,0,0,0">
              <w:txbxContent>
                <w:p w:rsidR="00E7327C" w:rsidRDefault="00E7327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F335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1537E22-3570-49F9-A3F4-36FBD4CC3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F335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2305C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7327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2008-04-06T17:29:00Z</dcterms:created>
  <dcterms:modified xsi:type="dcterms:W3CDTF">2008-04-06T17:29:00Z</dcterms:modified>
</cp:coreProperties>
</file>