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952F0" w:rsidRDefault="00E952F0">
      <w:pPr>
        <w:rPr>
          <w:rtl/>
        </w:rPr>
      </w:pPr>
    </w:p>
    <w:p w:rsidR="00E952F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75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3755" inset="0,0,0,0">
              <w:txbxContent>
                <w:p w:rsidR="00C424E9" w:rsidRDefault="00C424E9">
                  <w:r>
                    <w:rPr>
                      <w:rtl/>
                    </w:rPr>
                    <w:t>26                                           ספר החוקים 990                 ט"ז בכסליו התשמ"א 24.11.1980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56" o:spid="_x0000_s1026" type="#_x0000_t202" style="position:absolute;left:0;text-align:left;margin-left:80.35pt;margin-top:723.1pt;width:192.85pt;height:37.05pt;z-index:4;mso-position-horizontal-relative:page;mso-position-vertical-relative:page" stroked="f">
            <v:textbox style="mso-next-textbox:#_x0000_s23756" inset="0,0,0,0">
              <w:txbxContent>
                <w:p w:rsidR="00C424E9" w:rsidRDefault="00C424E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757" o:spid="_x0000_s1027" type="#_x0000_t202" style="position:absolute;left:0;text-align:left;margin-left:84.7pt;margin-top:665.3pt;width:386.5pt;height:50.1pt;z-index:3;mso-position-horizontal-relative:page;mso-position-vertical-relative:page" stroked="f">
            <v:textbox style="mso-next-textbox:#_x0000_s23757" inset="0,0,0,0">
              <w:txbxContent>
                <w:p w:rsidR="00C424E9" w:rsidRDefault="00C424E9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בכסלו התשמ"א (ל1 בנובמבר 1980); הצעת החוק ודברי הסבר פורסמו בה"ח 1441,</w:t>
                  </w:r>
                </w:p>
                <w:p w:rsidR="00C424E9" w:rsidRDefault="00C424E9">
                  <w:pPr>
                    <w:pStyle w:val="OCRStyle1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התש"ם, עמ' 148.</w:t>
                  </w:r>
                </w:p>
                <w:p w:rsidR="00C424E9" w:rsidRDefault="00C424E9">
                  <w:pPr>
                    <w:pStyle w:val="OCRStyle1"/>
                    <w:ind w:left="2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התשי"ט, עמ' 286; התשל"ח, עמ' 176.</w:t>
                  </w:r>
                </w:p>
                <w:p w:rsidR="00C424E9" w:rsidRPr="00E952F0" w:rsidRDefault="00C424E9">
                  <w:pPr>
                    <w:pStyle w:val="OCRStyle1"/>
                    <w:ind w:left="2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התשכ"ד, עמ' 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58" o:spid="_x0000_s1028" type="#_x0000_t202" style="position:absolute;left:0;text-align:left;margin-left:79.35pt;margin-top:116.2pt;width:461.55pt;height:547.45pt;z-index:2;mso-position-horizontal-relative:page;mso-position-vertical-relative:page" stroked="f">
            <v:textbox style="mso-next-textbox:#_x0000_s2375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6"/>
                    <w:gridCol w:w="1283"/>
                    <w:gridCol w:w="1306"/>
                  </w:tblGrid>
                  <w:tr w:rsidR="00C424E9" w:rsidRPr="00E952F0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C424E9" w:rsidRDefault="00C424E9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3 לחוק שירות בטחון, התשי"ט-1959 [נוסח משולב]1 (להלן -- החוק</w:t>
                        </w:r>
                      </w:p>
                      <w:p w:rsidR="00C424E9" w:rsidRDefault="00C42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C424E9" w:rsidRDefault="00C42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סעיפים קטנים (א) ו-(ב) יבוא:</w:t>
                        </w:r>
                      </w:p>
                      <w:p w:rsidR="00C424E9" w:rsidRDefault="00C42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פוקד רשאי, בצו, לקרוא לכל מיועד לשירות בטחון או יוצא צבא</w:t>
                        </w:r>
                      </w:p>
                      <w:p w:rsidR="00C424E9" w:rsidRDefault="00C42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להתייצב לרישום במקום ובזמן שקבע בצו הפוקד או מי שהוא הסמיך לכך.</w:t>
                        </w:r>
                      </w:p>
                      <w:p w:rsidR="00C424E9" w:rsidRDefault="00C42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שנקרא להתייצב כאמור חייב להתייצב במקום ובזמן שנקבעו כאמור</w:t>
                        </w:r>
                      </w:p>
                      <w:p w:rsidR="00C424E9" w:rsidRDefault="00C42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ולמסור לפוקד או לאדם שמינה הפוקד לכך את הפרטים הנוגעים אליו שנק-</w:t>
                        </w:r>
                      </w:p>
                      <w:p w:rsidR="00C424E9" w:rsidRDefault="00C42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בעו בתקנות.";</w:t>
                        </w:r>
                      </w:p>
                      <w:p w:rsidR="00C424E9" w:rsidRDefault="00C42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"יוצא צבא" יבוא "מי" ;</w:t>
                        </w:r>
                      </w:p>
                      <w:p w:rsidR="00C424E9" w:rsidRDefault="00C42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(ד) - בטל;</w:t>
                        </w:r>
                      </w:p>
                      <w:p w:rsidR="00C424E9" w:rsidRDefault="00C42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האמור בסעיף קטן (ה) יסומן (ד), ובו, במקום "יוצא צבא וכן אדם בגיל</w:t>
                        </w:r>
                      </w:p>
                      <w:p w:rsidR="00C424E9" w:rsidRPr="00E952F0" w:rsidRDefault="00C42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שנה" יבוא "מיועד לשירות בטחון ויוצא צבא".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C424E9" w:rsidRPr="00E952F0" w:rsidRDefault="00C424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C424E9" w:rsidRPr="00E952F0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C424E9" w:rsidRDefault="00C424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3א לחוק העיקרי -</w:t>
                        </w:r>
                      </w:p>
                      <w:p w:rsidR="00C424E9" w:rsidRDefault="00C42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"רשאי פוקד, בצו, אגב ביצוע הרישום לקרוא לו</w:t>
                        </w:r>
                      </w:p>
                      <w:p w:rsidR="00C424E9" w:rsidRDefault="00C42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להתייצב לבדיקה מוקדמת" יבוא "רשאי פוקד, בצו, לקרוא לו להתייצב לבדיקה</w:t>
                        </w:r>
                      </w:p>
                      <w:p w:rsidR="00C424E9" w:rsidRDefault="00C42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מוקדמת אגב ביצוע הרישום";</w:t>
                        </w:r>
                      </w:p>
                      <w:p w:rsidR="00C424E9" w:rsidRDefault="00C42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"שנקבעו בצו" יבוא "שקבע בצו הפוקד או מי</w:t>
                        </w:r>
                      </w:p>
                      <w:p w:rsidR="00C424E9" w:rsidRPr="00E952F0" w:rsidRDefault="00C42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הסמיך לכך".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C424E9" w:rsidRPr="00E952F0" w:rsidRDefault="00C424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3א</w:t>
                        </w:r>
                      </w:p>
                    </w:tc>
                  </w:tr>
                  <w:tr w:rsidR="00C424E9" w:rsidRPr="00E952F0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C424E9" w:rsidRDefault="00C424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4(ב) לחוק העיקרי, במקום "שנקבעו בצו" יבוא "שקבע בצו הפוקד או</w:t>
                        </w:r>
                      </w:p>
                      <w:p w:rsidR="00C424E9" w:rsidRPr="00E952F0" w:rsidRDefault="00C42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שהוא הסמיך לכך".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C424E9" w:rsidRPr="00E952F0" w:rsidRDefault="00C424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C424E9" w:rsidRPr="00E952F0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C424E9" w:rsidRDefault="00C424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בסעיף 5(א) לחוק העיקרי, במקום "שנקבעו בצו" יבוא "שקבע בצו הפוקד או מי</w:t>
                        </w:r>
                      </w:p>
                      <w:p w:rsidR="00C424E9" w:rsidRPr="00E952F0" w:rsidRDefault="00C42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הסמיך לכך".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C424E9" w:rsidRPr="00E952F0" w:rsidRDefault="00C424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C424E9" w:rsidRPr="00E952F0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C424E9" w:rsidRPr="00E952F0" w:rsidRDefault="00C42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.במקום סעיף 6 לחוק העיקרי יבוא :</w:t>
                        </w:r>
                      </w:p>
                    </w:tc>
                    <w:tc>
                      <w:tcPr>
                        <w:tcW w:w="778" w:type="pct"/>
                      </w:tcPr>
                      <w:p w:rsidR="00C424E9" w:rsidRPr="00E952F0" w:rsidRDefault="00C424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6</w:t>
                        </w:r>
                      </w:p>
                    </w:tc>
                  </w:tr>
                  <w:tr w:rsidR="00C424E9">
                    <w:trPr>
                      <w:jc w:val="right"/>
                    </w:trPr>
                    <w:tc>
                      <w:tcPr>
                        <w:tcW w:w="3458" w:type="pct"/>
                      </w:tcPr>
                      <w:p w:rsidR="00C424E9" w:rsidRDefault="00C424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מצאה ועדה רפואית כי יוצא צבא הוא כשר לשירות, בלתי כשר</w:t>
                        </w:r>
                      </w:p>
                      <w:p w:rsidR="00C424E9" w:rsidRDefault="00C42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או בלתי כשר ארעית לשירות, תמסור הועדה הודעה בכתב על</w:t>
                        </w:r>
                      </w:p>
                      <w:p w:rsidR="00C424E9" w:rsidRDefault="00C42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החלטתה ליוצא הצבא ולפוקד, והס רשאים, בתנאים שנקבעו בתקנות,</w:t>
                        </w:r>
                      </w:p>
                      <w:p w:rsidR="00C424E9" w:rsidRDefault="00C42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 כי הועדה הרפואית או הועדה הרפואית העליונה, הכל לפי הענין,</w:t>
                        </w:r>
                      </w:p>
                      <w:p w:rsidR="00C424E9" w:rsidRPr="00E952F0" w:rsidRDefault="00C42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תבדוק את יוצא הצבא בדיקה נוספת ותקבע את כושרו לשירות."</w:t>
                        </w:r>
                      </w:p>
                    </w:tc>
                    <w:tc>
                      <w:tcPr>
                        <w:tcW w:w="764" w:type="pct"/>
                      </w:tcPr>
                      <w:p w:rsidR="00C424E9" w:rsidRPr="00E952F0" w:rsidRDefault="00C424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"בדיקה נוספת</w:t>
                        </w:r>
                      </w:p>
                    </w:tc>
                    <w:tc>
                      <w:tcPr>
                        <w:tcW w:w="778" w:type="pct"/>
                      </w:tcPr>
                      <w:p w:rsidR="00C424E9" w:rsidRDefault="00C424E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424E9" w:rsidRPr="00E952F0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C424E9" w:rsidRDefault="00C424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בסעיף 7ב לחוק העיקרי, אחרי "מיועד לשירות בטחון שנפגע" יבוא "או יוצא</w:t>
                        </w:r>
                      </w:p>
                      <w:p w:rsidR="00C424E9" w:rsidRPr="00E952F0" w:rsidRDefault="00C42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 שאינו משרת שירות בטחון שנפגע".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C424E9" w:rsidRPr="00E952F0" w:rsidRDefault="00C424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רב</w:t>
                        </w:r>
                      </w:p>
                    </w:tc>
                  </w:tr>
                </w:tbl>
                <w:p w:rsidR="00C424E9" w:rsidRDefault="00C424E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759" o:spid="_x0000_s1029" type="#_x0000_t202" style="position:absolute;left:0;text-align:left;margin-left:137.95pt;margin-top:74.85pt;width:280.75pt;height:38.6pt;z-index:1;mso-position-horizontal-relative:page;mso-position-vertical-relative:page" stroked="f">
            <v:textbox style="mso-next-textbox:#_x0000_s23759" inset="0,0,0,0">
              <w:txbxContent>
                <w:p w:rsidR="00C424E9" w:rsidRPr="00E952F0" w:rsidRDefault="00C424E9">
                  <w:pPr>
                    <w:pStyle w:val="OCRStyle1"/>
                    <w:ind w:left="31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שירות בטחון (תיקון מס' 14), התשמ"א-1980 *</w:t>
                  </w:r>
                </w:p>
              </w:txbxContent>
            </v:textbox>
            <w10:wrap anchorx="page" anchory="page"/>
          </v:shape>
        </w:pict>
      </w:r>
    </w:p>
    <w:p w:rsidR="0008180A" w:rsidRDefault="0008180A">
      <w:pPr>
        <w:rPr>
          <w:rtl/>
        </w:rPr>
      </w:pPr>
      <w:r>
        <w:rPr>
          <w:rtl/>
        </w:rPr>
        <w:br w:type="page"/>
      </w:r>
    </w:p>
    <w:p w:rsidR="0008180A" w:rsidRDefault="00000000">
      <w:pPr>
        <w:rPr>
          <w:rtl/>
        </w:rPr>
      </w:pPr>
      <w:r>
        <w:pict>
          <v:shape id="_x0000_s23760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3760" inset="0,0,0,0">
              <w:txbxContent>
                <w:p w:rsidR="00C424E9" w:rsidRDefault="00C424E9">
                  <w:r>
                    <w:rPr>
                      <w:rtl/>
                    </w:rPr>
                    <w:t>27                                           ספר החוקים 990                 ט"ז בכסליו התשמ"א 24.11.1980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61" o:spid="_x0000_s1031" type="#_x0000_t202" style="position:absolute;left:0;text-align:left;margin-left:379.1pt;margin-top:716.35pt;width:173.85pt;height:24.95pt;z-index:7;mso-position-horizontal-relative:page;mso-position-vertical-relative:page" stroked="f">
            <v:textbox style="mso-next-textbox:#_x0000_s23761" inset="0,0,0,0">
              <w:txbxContent>
                <w:p w:rsidR="00C424E9" w:rsidRDefault="00C424E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3762" o:spid="_x0000_s1032" type="#_x0000_t202" style="position:absolute;left:0;text-align:left;margin-left:102.9pt;margin-top:68.9pt;width:457.95pt;height:642.3pt;z-index:6;mso-position-horizontal-relative:page;mso-position-vertical-relative:page" stroked="f">
            <v:textbox style="mso-next-textbox:#_x0000_s2376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7"/>
                    <w:gridCol w:w="5699"/>
                    <w:gridCol w:w="1391"/>
                  </w:tblGrid>
                  <w:tr w:rsidR="00C424E9" w:rsidRPr="0008180A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C424E9" w:rsidRPr="0008180A" w:rsidRDefault="00C424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תיקיו סעיף דר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C424E9" w:rsidRDefault="00C424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7ד לחוק העיקרי, במקום "שנקבעו בצו" יבוא "שקבע בצו הפוקד או מי</w:t>
                        </w:r>
                      </w:p>
                      <w:p w:rsidR="00C424E9" w:rsidRPr="0008180A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הסמיך לכך".</w:t>
                        </w:r>
                      </w:p>
                    </w:tc>
                  </w:tr>
                  <w:tr w:rsidR="00C424E9" w:rsidRPr="0008180A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C424E9" w:rsidRPr="0008180A" w:rsidRDefault="00C424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C424E9" w:rsidRDefault="00C424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9 לחוק העיקרי, בסיסה, במקום "שנקבעו בצו" יבוא "שקבע בצו הפוקד</w:t>
                        </w:r>
                      </w:p>
                      <w:p w:rsidR="00C424E9" w:rsidRPr="0008180A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שהוא הסמיך לכך'/</w:t>
                        </w:r>
                      </w:p>
                    </w:tc>
                  </w:tr>
                  <w:tr w:rsidR="00C424E9" w:rsidRPr="0008180A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C424E9" w:rsidRPr="0008180A" w:rsidRDefault="00C424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C424E9" w:rsidRDefault="00C424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14 לחוק העיקרי, במקום "ונענש על כך כדין" יבוא "והורשע על כך</w:t>
                        </w:r>
                      </w:p>
                      <w:p w:rsidR="00C424E9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כדין, ואם היתה לו זכות ערעור - לא ערער על ההרשעה או שערעורו על ההרשעה</w:t>
                        </w:r>
                      </w:p>
                      <w:p w:rsidR="00C424E9" w:rsidRPr="0008180A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נדחה".</w:t>
                        </w:r>
                      </w:p>
                    </w:tc>
                  </w:tr>
                  <w:tr w:rsidR="00C424E9" w:rsidRPr="0008180A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C424E9" w:rsidRPr="0008180A" w:rsidRDefault="00C424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14א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C424E9" w:rsidRDefault="00C424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14א לחוק העיקרי, במקום "נענש אדם כדין" יבוא "הורשע אדם כדין,</w:t>
                        </w:r>
                      </w:p>
                      <w:p w:rsidR="00C424E9" w:rsidRPr="0008180A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היתה לו זכות ערעור - לא ערער על ההרשעה או שערעורו על ההרשעה נדחה".</w:t>
                        </w:r>
                      </w:p>
                    </w:tc>
                  </w:tr>
                  <w:tr w:rsidR="00C424E9" w:rsidRPr="0008180A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C424E9" w:rsidRPr="0008180A" w:rsidRDefault="00C424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C424E9" w:rsidRDefault="00C424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16 (ד) לחוק העיקרי -</w:t>
                        </w:r>
                      </w:p>
                      <w:p w:rsidR="00C424E9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"עד יום א' בתשרי התש"ם (22 בספטמבר 1979)" יבוא "עד יום</w:t>
                        </w:r>
                      </w:p>
                      <w:p w:rsidR="00C424E9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 בתשרי התשמ"ו (16 בספטמבר 1985)";</w:t>
                        </w:r>
                      </w:p>
                      <w:p w:rsidR="00C424E9" w:rsidRPr="0008180A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המלים "בגיל 18 או יותר" - יימחקו.</w:t>
                        </w:r>
                      </w:p>
                    </w:tc>
                  </w:tr>
                  <w:tr w:rsidR="00C424E9" w:rsidRPr="0008180A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C424E9" w:rsidRPr="0008180A" w:rsidRDefault="00C424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C424E9" w:rsidRPr="0008180A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22 לחוק העיקרי, במקום "סעיף קטן זה" יבוא "סעיף זה".</w:t>
                        </w:r>
                      </w:p>
                    </w:tc>
                  </w:tr>
                  <w:tr w:rsidR="00C424E9" w:rsidRPr="0008180A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C424E9" w:rsidRPr="0008180A" w:rsidRDefault="00C424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C424E9" w:rsidRDefault="00C424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23 לחוק העיקרי, במקום "ונענש על כך כדין" יבוא "הורשע על כך</w:t>
                        </w:r>
                      </w:p>
                      <w:p w:rsidR="00C424E9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כדין, ואם היתה לו זכות ערעור - לא ערער על ההרשעה או שערעורו על ההרשעה</w:t>
                        </w:r>
                      </w:p>
                      <w:p w:rsidR="00C424E9" w:rsidRPr="0008180A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נדחה".</w:t>
                        </w:r>
                      </w:p>
                    </w:tc>
                  </w:tr>
                  <w:tr w:rsidR="00C424E9" w:rsidRPr="0008180A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C424E9" w:rsidRPr="0008180A" w:rsidRDefault="00C424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התוססת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C424E9" w:rsidRPr="0008180A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בתוספת לחוק העיקרי, האמור בסעיף 4א יסומן 4 ובמקום סעיפים 2 עד 4 יבוא:</w:t>
                        </w:r>
                      </w:p>
                    </w:tc>
                  </w:tr>
                  <w:tr w:rsidR="00C424E9" w:rsidRPr="0008180A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C424E9" w:rsidRDefault="00C424E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2" w:type="pct"/>
                      </w:tcPr>
                      <w:p w:rsidR="00C424E9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כתאריך לידתו של אדם לצורך חוק זה ייחשב התאריך הרשום</w:t>
                        </w:r>
                      </w:p>
                      <w:p w:rsidR="00C424E9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במרשם האוכלוסין, אם קיים רישום כזה.</w:t>
                        </w:r>
                      </w:p>
                      <w:p w:rsidR="00C424E9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פוקד כי הרישום במרשם האוכלוסין אינו ברור דיו או</w:t>
                        </w:r>
                      </w:p>
                      <w:p w:rsidR="00C424E9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אינו שלם, או כי אין במרשם האוכלוסין כל רישום בדבר תאריך</w:t>
                        </w:r>
                      </w:p>
                      <w:p w:rsidR="00C424E9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לידתו של אדם פלוני, ויש לפוקד יסוד. סביר להניח כי אותו אדם נקרא</w:t>
                        </w:r>
                      </w:p>
                      <w:p w:rsidR="00C424E9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עשוי להיקרא לרישום לפי סעיף 3 לחוק, רשאי הוא לצוות עליו, בצו</w:t>
                        </w:r>
                      </w:p>
                      <w:p w:rsidR="00C424E9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אישי, למסור לפוקד ראיות בדבר גילו.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C424E9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למסור ראיות</w:t>
                        </w:r>
                      </w:p>
                      <w:p w:rsidR="00C424E9" w:rsidRPr="0008180A" w:rsidRDefault="00C424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בדבר גיל</w:t>
                        </w:r>
                      </w:p>
                    </w:tc>
                  </w:tr>
                  <w:tr w:rsidR="00C424E9" w:rsidRPr="0008180A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C424E9" w:rsidRDefault="00C424E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2" w:type="pct"/>
                      </w:tcPr>
                      <w:p w:rsidR="00C424E9" w:rsidRDefault="00C424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פוקד רשאי לקבוע לפי חוק זה את גילו של אדם על פי ראיות</w:t>
                        </w:r>
                      </w:p>
                      <w:p w:rsidR="00C424E9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שהובאו לפניו כאמור בסעיף 2(ב) לתוספת זו; לא הובאו ראיות כאמור</w:t>
                        </w:r>
                      </w:p>
                      <w:p w:rsidR="00C424E9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שלא שוכנע הפוקד בנכונותן של ראיות כאמור או מצא הפוקד כי</w:t>
                        </w:r>
                      </w:p>
                      <w:p w:rsidR="00C424E9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תאריך הלידה של אדם שונה מהתאריך הרשום במרשם האוכלוסין, יבקש</w:t>
                        </w:r>
                      </w:p>
                      <w:p w:rsidR="00C424E9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הצהרה על גילו בהתאם לחוק קביעת גיל, התשכ"ד-21963.</w:t>
                        </w:r>
                      </w:p>
                      <w:p w:rsidR="00C424E9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שברישומי מרשם האוכלוסין לגביו לא נרשם החודש שבו</w:t>
                        </w:r>
                      </w:p>
                      <w:p w:rsidR="00C424E9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נולד, או שנצטווה מכוח חוק זה למסור ראיות בדבר גילו, ולא הוכיח</w:t>
                        </w:r>
                      </w:p>
                      <w:p w:rsidR="00C424E9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פוקד את החודש שבו נולד, יורה הפוקד בכתב לנהוג</w:t>
                        </w:r>
                      </w:p>
                      <w:p w:rsidR="00C424E9" w:rsidRPr="0008180A" w:rsidRDefault="00C42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נולד בחודש הראשון של השנה שבה נולד.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C424E9" w:rsidRDefault="00C424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הפוקד</w:t>
                        </w:r>
                      </w:p>
                      <w:p w:rsidR="00C424E9" w:rsidRPr="0008180A" w:rsidRDefault="00C424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לקביעת גיל</w:t>
                        </w:r>
                      </w:p>
                    </w:tc>
                  </w:tr>
                </w:tbl>
                <w:p w:rsidR="00C424E9" w:rsidRDefault="00C424E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424E9" w:rsidRDefault="00C424E9">
      <w:pPr>
        <w:rPr>
          <w:rtl/>
        </w:rPr>
      </w:pPr>
      <w:r>
        <w:rPr>
          <w:rtl/>
        </w:rPr>
        <w:br w:type="page"/>
      </w:r>
    </w:p>
    <w:p w:rsidR="00C424E9" w:rsidRDefault="00000000">
      <w:pPr>
        <w:rPr>
          <w:rtl/>
        </w:rPr>
      </w:pPr>
      <w:r>
        <w:pict>
          <v:shape id="_x0000_s23763" o:spid="_x0000_s1033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3763" inset="0,0,0,0">
              <w:txbxContent>
                <w:p w:rsidR="00C424E9" w:rsidRDefault="00C424E9">
                  <w:r>
                    <w:rPr>
                      <w:rtl/>
                    </w:rPr>
                    <w:t>28                                           ספר החוקים 990                 ט"ז בכסליו התשמ"א 24.11.1980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64" o:spid="_x0000_s1034" type="#_x0000_t202" style="position:absolute;left:0;text-align:left;margin-left:82.65pt;margin-top:330.25pt;width:83.55pt;height:43.95pt;z-index:12;mso-position-horizontal-relative:page;mso-position-vertical-relative:page" stroked="f">
            <v:textbox style="mso-next-textbox:#_x0000_s23764" inset="0,0,0,0">
              <w:txbxContent>
                <w:p w:rsidR="00C424E9" w:rsidRDefault="00C424E9">
                  <w:pPr>
                    <w:pStyle w:val="OCRStyle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424E9" w:rsidRDefault="00C424E9">
                  <w:pPr>
                    <w:pStyle w:val="OCRStyle3"/>
                    <w:ind w:left="30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65" o:spid="_x0000_s1035" type="#_x0000_t202" style="position:absolute;left:0;text-align:left;margin-left:234.15pt;margin-top:331.05pt;width:85.35pt;height:39.6pt;z-index:11;mso-position-horizontal-relative:page;mso-position-vertical-relative:page" stroked="f">
            <v:textbox style="mso-next-textbox:#_x0000_s23765" inset="0,0,0,0">
              <w:txbxContent>
                <w:p w:rsidR="00C424E9" w:rsidRDefault="00C424E9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424E9" w:rsidRDefault="00C424E9">
                  <w:pPr>
                    <w:pStyle w:val="OCRStyle3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66" o:spid="_x0000_s1036" type="#_x0000_t202" style="position:absolute;left:0;text-align:left;margin-left:400.25pt;margin-top:361.15pt;width:72.25pt;height:37.05pt;z-index:10;mso-position-horizontal-relative:page;mso-position-vertical-relative:page" stroked="f">
            <v:textbox style="mso-next-textbox:#_x0000_s23766" inset="0,0,0,0">
              <w:txbxContent>
                <w:p w:rsidR="00C424E9" w:rsidRDefault="00C424E9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424E9" w:rsidRDefault="00C424E9">
                  <w:pPr>
                    <w:pStyle w:val="OCRStyle3"/>
                    <w:ind w:left="22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67" o:spid="_x0000_s1037" type="#_x0000_t202" style="position:absolute;left:0;text-align:left;margin-left:81.85pt;margin-top:73.65pt;width:325.3pt;height:252.25pt;z-index:9;mso-position-horizontal-relative:page;mso-position-vertical-relative:page" stroked="f">
            <v:textbox style="mso-next-textbox:#_x0000_s23767" inset="0,0,0,0">
              <w:txbxContent>
                <w:p w:rsidR="00C424E9" w:rsidRDefault="00C424E9">
                  <w:pPr>
                    <w:pStyle w:val="OCRStyle3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(ג) אדם שברישומי מרשם האוכלוסין לגביו לא ברשם היום בחודש</w:t>
                  </w:r>
                </w:p>
                <w:p w:rsidR="00C424E9" w:rsidRDefault="00C424E9">
                  <w:pPr>
                    <w:pStyle w:val="OCRStyle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שבו נולד, או שנצטווה מכוח חוק זה למסור ראיות בדבר גילו, ולא הוכיח</w:t>
                  </w:r>
                </w:p>
                <w:p w:rsidR="00C424E9" w:rsidRDefault="00C424E9">
                  <w:pPr>
                    <w:pStyle w:val="OCRStyle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להנחת דעתו של פוקד את היום שבו בולד, יורה הפוקד בכתב לנהוג בו</w:t>
                  </w:r>
                </w:p>
                <w:p w:rsidR="00C424E9" w:rsidRDefault="00C424E9">
                  <w:pPr>
                    <w:pStyle w:val="OCRStyle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כאילו נולד ביום הראשון של החודש שבו נולד.</w:t>
                  </w:r>
                </w:p>
                <w:p w:rsidR="00C424E9" w:rsidRDefault="00C424E9">
                  <w:pPr>
                    <w:pStyle w:val="OCRStyle3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(ד) נקבע לאדם מתח גילים לפי חוק קביעת גיל, התשכ"ד-1963,</w:t>
                  </w:r>
                </w:p>
                <w:p w:rsidR="00C424E9" w:rsidRDefault="00C424E9">
                  <w:pPr>
                    <w:pStyle w:val="OCRStyle3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רשאי הפוקד להורות בכתב לנהוג בו כאילו בולד באמצע התקופה של</w:t>
                  </w:r>
                </w:p>
                <w:p w:rsidR="00C424E9" w:rsidRDefault="00C424E9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מתח הגילים.</w:t>
                  </w:r>
                </w:p>
                <w:p w:rsidR="00C424E9" w:rsidRDefault="00C424E9">
                  <w:pPr>
                    <w:pStyle w:val="OCRStyle3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(ה) רשאי פוקד, בכל מקרה שיש לו יסוד סביר להניח כי אדם</w:t>
                  </w:r>
                </w:p>
                <w:p w:rsidR="00C424E9" w:rsidRDefault="00C424E9">
                  <w:pPr>
                    <w:pStyle w:val="OCRStyle3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נקרא או עשוי להיקרא לרישום לפי סעיף 3 לחוק זה, לצוות עליו, בצו</w:t>
                  </w:r>
                </w:p>
                <w:p w:rsidR="00C424E9" w:rsidRDefault="00C424E9">
                  <w:pPr>
                    <w:pStyle w:val="OCRStyle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אישי, להתייצב לפני ועדה רפואית שהוקמה לפי סעיף 40 לחוק זה,</w:t>
                  </w:r>
                </w:p>
                <w:p w:rsidR="00C424E9" w:rsidRDefault="00C424E9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לשם בדיקת גילו מבחינת התפתחותו הגופנית, השכלית והנפשית, בזמן</w:t>
                  </w:r>
                </w:p>
                <w:p w:rsidR="00C424E9" w:rsidRDefault="00C424E9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ובמקום שיקבעו הוא או הועדה הרפואית, ואותו אדם חייב להתייצב לפני</w:t>
                  </w:r>
                </w:p>
                <w:p w:rsidR="00C424E9" w:rsidRDefault="00C424E9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הועדה הרפואית בזמן ובמקום האמורים, להיחקר בידיה ולהיבדק כל</w:t>
                  </w:r>
                </w:p>
                <w:p w:rsidR="00C424E9" w:rsidRDefault="00C424E9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בדיקה רפואית או אחרת שהועדה תמצא לנחוצה לשם קביעת גילו.</w:t>
                  </w:r>
                </w:p>
                <w:p w:rsidR="00C424E9" w:rsidRDefault="00C424E9">
                  <w:pPr>
                    <w:pStyle w:val="OCRStyle3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(ו) "שנה". ו"חודש", לענין סעיף זה - השנה והחודש לפי הלוח</w:t>
                  </w:r>
                </w:p>
                <w:p w:rsidR="00C424E9" w:rsidRDefault="00C424E9">
                  <w:pPr>
                    <w:pStyle w:val="OCRStyle3"/>
                    <w:ind w:left="270"/>
                  </w:pPr>
                  <w:r>
                    <w:rPr>
                      <w:rtl/>
                    </w:rPr>
                    <w:t>ששימש להוכחת שנת לידתו של האדם."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952F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52F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ED1791C-EC93-4825-832D-D8E6CF874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952F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8180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424E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2008-04-07T00:27:00Z</dcterms:created>
  <dcterms:modified xsi:type="dcterms:W3CDTF">2008-04-07T00:28:00Z</dcterms:modified>
</cp:coreProperties>
</file>