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5DF2" w:rsidRDefault="00B45DF2">
      <w:pPr>
        <w:rPr>
          <w:rtl/>
        </w:rPr>
      </w:pPr>
    </w:p>
    <w:p w:rsidR="00B45DF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8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880" inset="0,0,0,0">
              <w:txbxContent>
                <w:p w:rsidR="00B45DF2" w:rsidRDefault="00B45DF2">
                  <w:r>
                    <w:rPr>
                      <w:rtl/>
                    </w:rPr>
                    <w:t>10                                           ספר החוקים 408                 י"ב בכסליו התשכ"ד 28.11.1963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81" o:spid="_x0000_s1026" type="#_x0000_t202" style="position:absolute;left:0;text-align:left;margin-left:91.35pt;margin-top:481.85pt;width:401.15pt;height:207.3pt;z-index:6;mso-position-horizontal-relative:page;mso-position-vertical-relative:page" stroked="f">
            <v:textbox style="mso-next-textbox:#_x0000_s23881" inset="0,0,0,0">
              <w:txbxContent>
                <w:p w:rsidR="00B45DF2" w:rsidRDefault="00B45DF2">
                  <w:pPr>
                    <w:pStyle w:val="OCRStyle1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ביוט ג' בכסלו תשכ"ד (19 בנובמבר 1963); הצעת החוק ודברי הסבר פורסמו בה"ח 541 ,תשכ"ג/</w:t>
                  </w:r>
                </w:p>
                <w:p w:rsidR="00B45DF2" w:rsidRDefault="00B45DF2">
                  <w:pPr>
                    <w:pStyle w:val="OCRStyle1"/>
                    <w:ind w:left="605"/>
                    <w:rPr>
                      <w:rtl/>
                    </w:rPr>
                  </w:pPr>
                  <w:r>
                    <w:rPr>
                      <w:rtl/>
                    </w:rPr>
                    <w:t>עמ' 130.</w:t>
                  </w:r>
                </w:p>
                <w:p w:rsidR="00B45DF2" w:rsidRPr="00B45DF2" w:rsidRDefault="00B45DF2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1 ס"ח תשי''ט, עמ' 286: ס"ח תשכ"א, עמ' 140;  ס"ח   תשכ''ג, עמ' 128.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82" o:spid="_x0000_s1027" type="#_x0000_t202" style="position:absolute;left:0;text-align:left;margin-left:120.65pt;margin-top:387pt;width:88.5pt;height:39.6pt;z-index:5;mso-position-horizontal-relative:page;mso-position-vertical-relative:page" stroked="f">
            <v:textbox style="mso-next-textbox:#_x0000_s23882" inset="0,0,0,0">
              <w:txbxContent>
                <w:p w:rsidR="00B45DF2" w:rsidRDefault="00B45DF2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45DF2" w:rsidRDefault="00B45DF2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83" o:spid="_x0000_s1028" type="#_x0000_t202" style="position:absolute;left:0;text-align:left;margin-left:228.15pt;margin-top:393.15pt;width:101.55pt;height:34.45pt;z-index:4;mso-position-horizontal-relative:page;mso-position-vertical-relative:page" stroked="f">
            <v:textbox style="mso-next-textbox:#_x0000_s23883" inset="0,0,0,0">
              <w:txbxContent>
                <w:p w:rsidR="00B45DF2" w:rsidRDefault="00B45DF2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45DF2" w:rsidRDefault="00B45DF2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84" o:spid="_x0000_s1029" type="#_x0000_t202" style="position:absolute;left:0;text-align:left;margin-left:361.6pt;margin-top:416.3pt;width:119.6pt;height:46.55pt;z-index:3;mso-position-horizontal-relative:page;mso-position-vertical-relative:page" stroked="f">
            <v:textbox style="mso-next-textbox:#_x0000_s23884" inset="0,0,0,0">
              <w:txbxContent>
                <w:p w:rsidR="00B45DF2" w:rsidRDefault="00B45DF2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B45DF2" w:rsidRDefault="00B45DF2">
                  <w:pPr>
                    <w:pStyle w:val="OCRStyle1"/>
                    <w:ind w:left="52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85" o:spid="_x0000_s1030" type="#_x0000_t202" style="position:absolute;left:0;text-align:left;margin-left:92.15pt;margin-top:109pt;width:470.85pt;height:271.25pt;z-index:2;mso-position-horizontal-relative:page;mso-position-vertical-relative:page" stroked="f">
            <v:textbox style="mso-next-textbox:#_x0000_s2388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51"/>
                    <w:gridCol w:w="1251"/>
                    <w:gridCol w:w="1358"/>
                  </w:tblGrid>
                  <w:tr w:rsidR="00B45DF2" w:rsidRPr="00B45DF2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B45DF2" w:rsidRDefault="00B45DF2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במקום סעיף 14 לחוק שירות בטחון (נוסח משולב), תשי"ט-1959   1(להלן - החוק</w:t>
                        </w:r>
                      </w:p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14</w:t>
                        </w:r>
                      </w:p>
                    </w:tc>
                  </w:tr>
                  <w:tr w:rsidR="00B45DF2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אדם שבתקופת שירותו הסדיר היה כלוא בשל עבירה על פי פסק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של בית דין צבאי או של בית משפט אחר, או על פי פסק של קצין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 בכיר וכן אדם שנעדר מן השירות שלא כדין או שנעדר ברשות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שהושגה בטענות כוזבות, ונענש על כך כדין - אין רואים את תקופת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כליאתו ולא את תקופת העדרו, לענין חישוב זמן השירות, כתקופה שבה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מילא חובת שירות סדיר, אלא אם הורה בית הדין הצבאי, בית המשפט או</w:t>
                        </w:r>
                      </w:p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קצין השיפוט הבכיר הוראה אחרת."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"זמן השירות</w:t>
                        </w:r>
                      </w:p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לנעדר מן השירות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45DF2" w:rsidRPr="00B45DF2">
                    <w:trPr>
                      <w:jc w:val="right"/>
                    </w:trPr>
                    <w:tc>
                      <w:tcPr>
                        <w:tcW w:w="4207" w:type="pct"/>
                        <w:gridSpan w:val="2"/>
                      </w:tcPr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במקום סעיף 23 לחוק העיקרי יבוא: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23</w:t>
                        </w:r>
                      </w:p>
                    </w:tc>
                  </w:tr>
                  <w:tr w:rsidR="00B45DF2">
                    <w:trPr>
                      <w:jc w:val="right"/>
                    </w:trPr>
                    <w:tc>
                      <w:tcPr>
                        <w:tcW w:w="3476" w:type="pct"/>
                      </w:tcPr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יוצא-צבא אשר כהיותו בשירות מילואים היה כלוא כשל עבירה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פסק דין של בית דין צבאי או של בית משפט אחר, או על פי פסק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קצין שיפוט בכיר וכן אדם שנעדר מן השירות שלא כדין או שנעדר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שהושגה על סמך טענות כוזבות, ונענש על כך כדין - אין רואים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תקופת כליאתו ולא את תקופת העדרו, לענין חישוב זמן השירות,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כתקופה שבה מילא חובת שירות מילואים, אלא אם הורה בית הדין הצבאי,</w:t>
                        </w:r>
                      </w:p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או קצין השיפוט הבכיר הוראה אחרת."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"זמן השירות</w:t>
                        </w:r>
                      </w:p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במילואים לנעדר</w:t>
                        </w:r>
                      </w:p>
                      <w:p w:rsidR="00B45DF2" w:rsidRP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השירות</w:t>
                        </w:r>
                      </w:p>
                    </w:tc>
                    <w:tc>
                      <w:tcPr>
                        <w:tcW w:w="793" w:type="pct"/>
                      </w:tcPr>
                      <w:p w:rsidR="00B45DF2" w:rsidRDefault="00B45DF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45DF2" w:rsidRDefault="00B45DF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86" o:spid="_x0000_s1031" type="#_x0000_t202" style="position:absolute;left:0;text-align:left;margin-left:123.25pt;margin-top:78.1pt;width:342.55pt;height:29.1pt;z-index:1;mso-position-horizontal-relative:page;mso-position-vertical-relative:page" stroked="f">
            <v:textbox style="mso-next-textbox:#_x0000_s23886" inset="0,0,0,0">
              <w:txbxContent>
                <w:p w:rsidR="00B45DF2" w:rsidRPr="00B45DF2" w:rsidRDefault="00B45DF2">
                  <w:pPr>
                    <w:pStyle w:val="OCRStyle1"/>
                    <w:ind w:left="15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שירות בטחון [נוסח משולב] (תיקון מס' 3), תשכ"ד-1963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45DF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5DF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A9BCC47-F121-4E95-8645-637D244A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5DF2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2008-04-06T19:57:00Z</dcterms:created>
  <dcterms:modified xsi:type="dcterms:W3CDTF">2008-04-06T19:57:00Z</dcterms:modified>
</cp:coreProperties>
</file>