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7ADC" w:rsidRDefault="00617ADC">
      <w:pPr>
        <w:rPr>
          <w:rtl/>
        </w:rPr>
      </w:pPr>
    </w:p>
    <w:p w:rsidR="00617A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8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887" inset="0,0,0,0">
              <w:txbxContent>
                <w:p w:rsidR="00617ADC" w:rsidRDefault="00617ADC">
                  <w:r>
                    <w:rPr>
                      <w:rtl/>
                    </w:rPr>
                    <w:t>128                                          ספר החוקים 402                    י"ט באב התשכ"ג 09.08.1963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8" o:spid="_x0000_s1026" type="#_x0000_t202" style="position:absolute;left:0;text-align:left;margin-left:102.15pt;margin-top:720.75pt;width:168.7pt;height:35.25pt;z-index:7;mso-position-horizontal-relative:page;mso-position-vertical-relative:page" stroked="f">
            <v:textbox style="mso-next-textbox:#_x0000_s23888" inset="0,0,0,0">
              <w:txbxContent>
                <w:p w:rsidR="00617ADC" w:rsidRDefault="00617A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89" o:spid="_x0000_s1027" type="#_x0000_t202" style="position:absolute;left:0;text-align:left;margin-left:94.2pt;margin-top:619.15pt;width:397.8pt;height:94.65pt;z-index:6;mso-position-horizontal-relative:page;mso-position-vertical-relative:page" stroked="f">
            <v:textbox style="mso-next-textbox:#_x0000_s23889" inset="0,0,0,0">
              <w:txbxContent>
                <w:p w:rsidR="00617ADC" w:rsidRDefault="00617ADC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תשכ"ג (1 באוגוסט 1963), הצעת החוק ודברי הסבר פורסמו בה''ח 570, תשכ"ג,</w:t>
                  </w:r>
                </w:p>
                <w:p w:rsidR="00617ADC" w:rsidRDefault="00617ADC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328.</w:t>
                  </w:r>
                </w:p>
                <w:p w:rsidR="00617ADC" w:rsidRDefault="00617ADC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296, תשי"ט, עמ' 286; ס''ח 343, תשכ''א, עמ' 140.</w:t>
                  </w:r>
                </w:p>
                <w:p w:rsidR="00617ADC" w:rsidRDefault="00617ADC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ב', פרק קי''ב, עמ' .1124</w:t>
                  </w:r>
                </w:p>
                <w:p w:rsidR="00617ADC" w:rsidRDefault="00617ADC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295, תשי"ט, עמ' .276</w:t>
                  </w:r>
                </w:p>
                <w:p w:rsidR="00617ADC" w:rsidRDefault="00617ADC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4.ס"ח 52, תש"י, עמ' .162</w:t>
                  </w:r>
                </w:p>
                <w:p w:rsidR="00617ADC" w:rsidRDefault="00617ADC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6, תש"ט, עמ' .13</w:t>
                  </w:r>
                </w:p>
                <w:p w:rsidR="00617ADC" w:rsidRPr="00617ADC" w:rsidRDefault="00617ADC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189, 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0" o:spid="_x0000_s1028" type="#_x0000_t202" style="position:absolute;left:0;text-align:left;margin-left:127.85pt;margin-top:550.25pt;width:79.2pt;height:38pt;z-index:5;mso-position-horizontal-relative:page;mso-position-vertical-relative:page" stroked="f">
            <v:textbox style="mso-next-textbox:#_x0000_s23890" inset="0,0,0,0">
              <w:txbxContent>
                <w:p w:rsidR="00617ADC" w:rsidRDefault="00617AD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17ADC" w:rsidRDefault="00617AD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1" o:spid="_x0000_s1029" type="#_x0000_t202" style="position:absolute;left:0;text-align:left;margin-left:248.45pt;margin-top:556.4pt;width:80.8pt;height:30.1pt;z-index:4;mso-position-horizontal-relative:page;mso-position-vertical-relative:page" stroked="f">
            <v:textbox style="mso-next-textbox:#_x0000_s23891" inset="0,0,0,0">
              <w:txbxContent>
                <w:p w:rsidR="00617ADC" w:rsidRDefault="00617ADC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17ADC" w:rsidRDefault="00617ADC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2" o:spid="_x0000_s1030" type="#_x0000_t202" style="position:absolute;left:0;text-align:left;margin-left:371.4pt;margin-top:583.9pt;width:125.75pt;height:29.3pt;z-index:3;mso-position-horizontal-relative:page;mso-position-vertical-relative:page" stroked="f">
            <v:textbox style="mso-next-textbox:#_x0000_s23892" inset="0,0,0,0">
              <w:txbxContent>
                <w:p w:rsidR="00617ADC" w:rsidRDefault="00617AD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17ADC" w:rsidRDefault="00617ADC">
                  <w:pPr>
                    <w:pStyle w:val="OCRStyle1"/>
                    <w:ind w:left="8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3" o:spid="_x0000_s1031" type="#_x0000_t202" style="position:absolute;left:0;text-align:left;margin-left:89.85pt;margin-top:124.75pt;width:475.2pt;height:425.3pt;z-index:2;mso-position-horizontal-relative:page;mso-position-vertical-relative:page" stroked="f">
            <v:textbox style="mso-next-textbox:#_x0000_s238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5"/>
                    <w:gridCol w:w="1450"/>
                    <w:gridCol w:w="1436"/>
                  </w:tblGrid>
                  <w:tr w:rsidR="00617ADC" w:rsidRPr="00617ADC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617ADC" w:rsidRDefault="00617AD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שירות בטחון, תשי"ט-1959 (נוסח משולב] 1 (להלן - החוק העיקרי)/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בסופו, יבוא: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""חיל המשטרה" - כמשמעותו בפקודת המשטרה 2;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השיקום" - חוק הנכים (תגמולים ושיקום), תשי"ט-1959 ננוסח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3, חוק משפחות חיילים שנספו במערכה (תגמולים ושיקום),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4, חוק החיילים המשוחררים (החזרה לעבודה)' תש"ט-</w:t>
                        </w:r>
                      </w:p>
                      <w:p w:rsidR="00617ADC" w:rsidRP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5, וכל חוק אחר ששר הבטחון יכריז עליו כעל חוק שיקום."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17ADC" w:rsidRPr="00617ADC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617ADC" w:rsidRP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לאחר סעיף 18 לחוק העיקרי יבוא 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18א-18ד</w:t>
                        </w:r>
                      </w:p>
                    </w:tc>
                  </w:tr>
                  <w:tr w:rsidR="00617ADC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שר הבטחון, בהתייעצות עם שר המשטרה או עם מי שהוסמך לכך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ידיו' רשאי להורות כצו כי יוצא--צבא, גבר' שנמצא כשר לשירות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באחד הגילים מן 18 עד 29 ועד בכלל, ישרת במשמר הגבול שבחיל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(להלן - משמר הגבול) כל תקופת השירות הסדיר שהוא חייב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או כל חלק ממנה' הכל כאמור בצו - בין שהתחיל בשירותו זה ובין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 - ועליו להתייצב לשירות במשמר הגבול בהתאם לאמור בצו.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במשמר</w:t>
                        </w:r>
                      </w:p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הגבול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17ADC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שירות במשמר הגבול על פי חוק זה' דינו לענין חוק זה וחוקי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כדין שירות סדיר, והוא כשאין הוראה מפורשת אחרת בחוק זה.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כל עוד יוצא--צבא משרת בהתאם לצו לפי סעיף 18א, לא יחול עליו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השיפוט הצבאי, תשט'יו-1955, 6  והתקנות על פיו, אלא יחולו עליו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המשטרה והתקנות על פיה, למעט הסמכות לפטרו ולגרשו על פי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7(3) של אותה פקודה, ולמעט הסעיפים 9, 9א, 10, 11, 14, 14א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ו-15 שבה' אולם שכרו יהיה כשכרו של יוצא-צבא המשרת שירות סדיר.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במשמר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הגבול כשירות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סדיר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המשטרה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17ADC">
                    <w:trPr>
                      <w:jc w:val="right"/>
                    </w:trPr>
                    <w:tc>
                      <w:tcPr>
                        <w:tcW w:w="3330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18ד. יוצא-צבא ששירותו במשמר הגבול בא לידי גמר בהתאם לאמור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לפי סעיף 18א או עקב ביטולו של הצו, ותקופת השירות הסדיר שהיה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אילמלא הצו, עדיין לא עברה, יהיה חייב בשירות סדיר עד תום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השירות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הסדיר אחרי</w:t>
                        </w:r>
                      </w:p>
                      <w:p w:rsid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גמר השירות</w:t>
                        </w:r>
                      </w:p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במשמר הגבול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17ADC" w:rsidRPr="00617ADC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617ADC" w:rsidRPr="00617ADC" w:rsidRDefault="00617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44 לחוק העיקרי, בסעיף קטן (א), אחרי "10" יבוא "18א".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17ADC" w:rsidRPr="00617ADC" w:rsidRDefault="00617A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</w:tr>
                </w:tbl>
                <w:p w:rsidR="00617ADC" w:rsidRDefault="00617A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94" o:spid="_x0000_s1032" type="#_x0000_t202" style="position:absolute;left:0;text-align:left;margin-left:120.15pt;margin-top:85.15pt;width:351.05pt;height:39.4pt;z-index:1;mso-position-horizontal-relative:page;mso-position-vertical-relative:page" stroked="f">
            <v:textbox style="mso-next-textbox:#_x0000_s23894" inset="0,0,0,0">
              <w:txbxContent>
                <w:p w:rsidR="00617ADC" w:rsidRPr="00617ADC" w:rsidRDefault="00617ADC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בטחון [נוסח משולב]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617A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66C913-A83D-4D1E-9561-9321A5E1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7A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2008-04-07T11:03:00Z</dcterms:created>
  <dcterms:modified xsi:type="dcterms:W3CDTF">2008-04-07T11:03:00Z</dcterms:modified>
</cp:coreProperties>
</file>