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726E" w:rsidRDefault="005E726E">
      <w:pPr>
        <w:rPr>
          <w:rtl/>
        </w:rPr>
      </w:pPr>
    </w:p>
    <w:p w:rsidR="005E72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9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996" inset="0,0,0,0">
              <w:txbxContent>
                <w:p w:rsidR="007078C9" w:rsidRDefault="007078C9">
                  <w:r>
                    <w:rPr>
                      <w:rtl/>
                    </w:rPr>
                    <w:t>243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97" o:spid="_x0000_s1026" type="#_x0000_t202" style="position:absolute;left:0;text-align:left;margin-left:151.2pt;margin-top:719.2pt;width:410.05pt;height:79.2pt;z-index:4;mso-position-horizontal-relative:page;mso-position-vertical-relative:page" stroked="f">
            <v:textbox style="mso-next-textbox:#_x0000_s23997" inset="0,0,0,0">
              <w:txbxContent>
                <w:p w:rsidR="007078C9" w:rsidRDefault="007078C9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תשי"א (3 ביולי 1951); הצעת החוק ודברי הסבר נתפרסמו</w:t>
                  </w:r>
                </w:p>
                <w:p w:rsidR="007078C9" w:rsidRDefault="007078C9">
                  <w:pPr>
                    <w:pStyle w:val="OCRStyle1"/>
                    <w:ind w:left="7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74 מיום כ"? בניסן תשי"א (3.5.51), עמ' 182.</w:t>
                  </w:r>
                </w:p>
                <w:p w:rsidR="007078C9" w:rsidRPr="005E726E" w:rsidRDefault="007078C9">
                  <w:pPr>
                    <w:pStyle w:val="OCRStyle1"/>
                    <w:ind w:left="5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כ"א באלול תש"ט (15.9.49), עט'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98" o:spid="_x0000_s1027" type="#_x0000_t202" style="position:absolute;left:0;text-align:left;margin-left:92.8pt;margin-top:110.15pt;width:470.45pt;height:605.3pt;z-index:3;mso-position-horizontal-relative:page;mso-position-vertical-relative:page" stroked="f">
            <v:textbox style="mso-next-textbox:#_x0000_s2399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5"/>
                    <w:gridCol w:w="6327"/>
                    <w:gridCol w:w="1353"/>
                  </w:tblGrid>
                  <w:tr w:rsidR="007078C9" w:rsidRPr="005E726E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7078C9" w:rsidRPr="005E726E" w:rsidRDefault="007078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החוק</w:t>
                        </w:r>
                      </w:p>
                    </w:tc>
                    <w:tc>
                      <w:tcPr>
                        <w:tcW w:w="4489" w:type="pct"/>
                        <w:gridSpan w:val="2"/>
                      </w:tcPr>
                      <w:p w:rsidR="007078C9" w:rsidRDefault="007078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1.   חוק שירות בטחון, תש"ט-11949' יתוקן כך: 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5 -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בהערת השוליים, במקום המלים "כושר רפואי" יבואו המלים "כושר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בטחון";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(א) ו-(ב) יבואו סעיפים קטנים אלה: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פוקד רשאי, בצו, לקרוא לכל יוצא-צבא להתייצב לבדיקה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ובזמן שנקבעו בצו, לשם קביעת כשרו לשירות בטחון.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יוצא-צבא שנקרא להתייצב כאמור, חייב להתייצב, במקום וב-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שנקבעו בצו, ולהיבדק כל בדיקה שתידרש לדעת ועדה רפואית, לשם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כשרו הרפואי לשירות בטחון, וכן להיבדק, לפי הוראות הפוקד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שהוסמך לכך על ידיו, כל בדיקה אחרת לשם קביעת כשרו הכללי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בטחון, המבחנים לכושר רפואי לדרגותיו - ייקבעו בתקנות".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(ה) יבוא סעיף קטן זה: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פוקד רשאי, בצו, לקרוא לתושב קבוע שמלאו לו 17 שנים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תמימות להתייצב לבדיקה, במקום ובזמן שנקבעו בצו. לשם קביעת כשרו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בטחון, ובחישוב גילו לא יחול סעיף 2 (ב). ניתן צו כזה" יחולו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תושב קבוע סעיפים קטנים (ב), (ג) ו-(ד), כאילו היה יוצא-צבא.*</w:t>
                        </w:r>
                      </w:p>
                      <w:p w:rsidR="007078C9" w:rsidRPr="005E726E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7 יבוא סעיף זה:</w:t>
                        </w:r>
                      </w:p>
                    </w:tc>
                  </w:tr>
                  <w:tr w:rsidR="007078C9" w:rsidRPr="005E726E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98" w:type="pct"/>
                      </w:tcPr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יוצא-צבא שנמצא כשר לשירות והוא אינו בשירות סדיר יהיה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 עם כוחות המילואים של צבא-הגנה לישראל וחייב בשירות מילואים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 ובשירות מילואים חדשי לתקופות המפורטות להלן.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יוצא-צבא החייב בשירות מילואים כאמור. רשאי פוקד, בצו,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לקרוא לו להתייצב לשירות מילואים במקום ובזמן שנקבעו בצו : ואותו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יוצא-צבא חייב להתייצב כאמור.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יוצא-צבא החייב בשירות מילואים כאמור, והוא נמנה עם יחידה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כוחות המילואים של צבא-הגנה לישראל רשאי מפקדו בדרגת סגן-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או בדרגה גבוהה מזו, לקרוא לו, בכל דרך שימצא לנכון להתייצב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מילואים ביחידתו במקום ובזמן שקבע המפקד, ואותו יוצא-צבא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להתייצב כאמור.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שירות המילואים החדשי היא יום לכל חודש או שני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רצופים לכל חדשיים או שלושה ימים רצופים לכל שלושה חדשים,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שתים עשרה שעות לשיעורין לכל חודש, הכל כפי שיקבע בכל מקרה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ומקרה הפוקד או המפקד, כאמור בסעיפים קטנים (ב) או (ג), ובלבד -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שלא יצורפו ימי השירות החדשי, על ידי הסמכת תקופה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של שירות חדשי לחברתה, לתקופה כוללת העולה על שלושה</w:t>
                        </w:r>
                      </w:p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אלא בהסכמת יוצא-הצבא;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078C9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,,שירות</w:t>
                        </w:r>
                      </w:p>
                      <w:p w:rsidR="007078C9" w:rsidRPr="005E726E" w:rsidRDefault="00707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</w:t>
                        </w:r>
                      </w:p>
                    </w:tc>
                  </w:tr>
                </w:tbl>
                <w:p w:rsidR="007078C9" w:rsidRDefault="007078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99" o:spid="_x0000_s1028" type="#_x0000_t202" style="position:absolute;left:0;text-align:left;margin-left:76.75pt;margin-top:72.55pt;width:85.75pt;height:28.3pt;z-index:2;mso-position-horizontal-relative:page;mso-position-vertical-relative:page" stroked="f">
            <v:textbox style="mso-next-textbox:#_x0000_s23999" inset="0,0,0,0">
              <w:txbxContent>
                <w:p w:rsidR="007078C9" w:rsidRDefault="007078C9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מספר 07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00" o:spid="_x0000_s1029" type="#_x0000_t202" style="position:absolute;left:0;text-align:left;margin-left:217.15pt;margin-top:77.3pt;width:287.5pt;height:26.35pt;z-index:1;mso-position-horizontal-relative:page;mso-position-vertical-relative:page" stroked="f">
            <v:textbox style="mso-next-textbox:#_x0000_s24000" inset="0,0,0,0">
              <w:txbxContent>
                <w:p w:rsidR="007078C9" w:rsidRPr="005E726E" w:rsidRDefault="007078C9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(תיקון) (מס' 2), תשי"א-1951*</w:t>
                  </w:r>
                </w:p>
              </w:txbxContent>
            </v:textbox>
            <w10:wrap anchorx="page" anchory="page"/>
          </v:shape>
        </w:pict>
      </w:r>
    </w:p>
    <w:p w:rsidR="007078C9" w:rsidRDefault="007078C9">
      <w:pPr>
        <w:rPr>
          <w:rtl/>
        </w:rPr>
      </w:pPr>
      <w:r>
        <w:rPr>
          <w:rtl/>
        </w:rPr>
        <w:br w:type="page"/>
      </w:r>
    </w:p>
    <w:p w:rsidR="007078C9" w:rsidRDefault="00000000">
      <w:pPr>
        <w:rPr>
          <w:rtl/>
        </w:rPr>
      </w:pPr>
      <w:r>
        <w:pict>
          <v:shape id="_x0000_s24001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4001" inset="0,0,0,0">
              <w:txbxContent>
                <w:p w:rsidR="007078C9" w:rsidRDefault="007078C9">
                  <w:r>
                    <w:rPr>
                      <w:rtl/>
                    </w:rPr>
                    <w:t>244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02" o:spid="_x0000_s1031" type="#_x0000_t202" style="position:absolute;left:0;text-align:left;margin-left:77.95pt;margin-top:775.6pt;width:210.85pt;height:16.45pt;z-index:10;mso-position-horizontal-relative:page;mso-position-vertical-relative:page" stroked="f">
            <v:textbox style="mso-next-textbox:#_x0000_s24002" inset="0,0,0,0">
              <w:txbxContent>
                <w:p w:rsidR="007078C9" w:rsidRDefault="007078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003" o:spid="_x0000_s1032" type="#_x0000_t202" style="position:absolute;left:0;text-align:left;margin-left:86.25pt;margin-top:662.75pt;width:127.3pt;height:39.4pt;z-index:9;mso-position-horizontal-relative:page;mso-position-vertical-relative:page" stroked="f">
            <v:textbox style="mso-next-textbox:#_x0000_s24003" inset="0,0,0,0">
              <w:txbxContent>
                <w:p w:rsidR="007078C9" w:rsidRDefault="007078C9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078C9" w:rsidRDefault="007078C9">
                  <w:pPr>
                    <w:pStyle w:val="OCRStyle2"/>
                    <w:ind w:left="65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04" o:spid="_x0000_s1033" type="#_x0000_t202" style="position:absolute;left:0;text-align:left;margin-left:236.55pt;margin-top:663.75pt;width:111.85pt;height:43.95pt;z-index:8;mso-position-horizontal-relative:page;mso-position-vertical-relative:page" stroked="f">
            <v:textbox style="mso-next-textbox:#_x0000_s24004" inset="0,0,0,0">
              <w:txbxContent>
                <w:p w:rsidR="007078C9" w:rsidRDefault="007078C9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דוד בן גוריון</w:t>
                  </w:r>
                </w:p>
                <w:p w:rsidR="007078C9" w:rsidRDefault="007078C9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05" o:spid="_x0000_s1034" type="#_x0000_t202" style="position:absolute;left:0;text-align:left;margin-left:392.35pt;margin-top:701.35pt;width:127.3pt;height:42.15pt;z-index:7;mso-position-horizontal-relative:page;mso-position-vertical-relative:page" stroked="f">
            <v:textbox style="mso-next-textbox:#_x0000_s24005" inset="0,0,0,0">
              <w:txbxContent>
                <w:p w:rsidR="007078C9" w:rsidRDefault="007078C9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7078C9" w:rsidRDefault="007078C9">
                  <w:pPr>
                    <w:pStyle w:val="OCRStyle2"/>
                    <w:ind w:left="7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06" o:spid="_x0000_s1035" type="#_x0000_t202" style="position:absolute;left:0;text-align:left;margin-left:80.7pt;margin-top:77.85pt;width:425.3pt;height:582.1pt;z-index:6;mso-position-horizontal-relative:page;mso-position-vertical-relative:page" stroked="f">
            <v:textbox style="mso-next-textbox:#_x0000_s24006" inset="0,0,0,0">
              <w:txbxContent>
                <w:p w:rsidR="007078C9" w:rsidRDefault="007078C9">
                  <w:pPr>
                    <w:pStyle w:val="OCRStyle2"/>
                    <w:ind w:left="2484"/>
                    <w:rPr>
                      <w:rtl/>
                    </w:rPr>
                  </w:pPr>
                  <w:r>
                    <w:rPr>
                      <w:rtl/>
                    </w:rPr>
                    <w:t>(2) שאותם ימים או אותן שעות לא יחולו בשבת או במועדי</w:t>
                  </w:r>
                </w:p>
                <w:p w:rsidR="007078C9" w:rsidRDefault="007078C9">
                  <w:pPr>
                    <w:pStyle w:val="OCRStyle2"/>
                    <w:ind w:left="2488"/>
                    <w:rPr>
                      <w:rtl/>
                    </w:rPr>
                  </w:pPr>
                  <w:r>
                    <w:rPr>
                      <w:rtl/>
                    </w:rPr>
                    <w:t>ישראל.</w:t>
                  </w:r>
                </w:p>
                <w:p w:rsidR="007078C9" w:rsidRDefault="007078C9">
                  <w:pPr>
                    <w:pStyle w:val="OCRStyle2"/>
                    <w:ind w:left="2110"/>
                    <w:rPr>
                      <w:rtl/>
                    </w:rPr>
                  </w:pPr>
                  <w:r>
                    <w:rPr>
                      <w:rtl/>
                    </w:rPr>
                    <w:t>(ה) תקופת שירות המילואים השנתי היא:</w:t>
                  </w:r>
                </w:p>
                <w:p w:rsidR="007078C9" w:rsidRDefault="007078C9">
                  <w:pPr>
                    <w:pStyle w:val="OCRStyle2"/>
                    <w:ind w:left="2488"/>
                    <w:rPr>
                      <w:rtl/>
                    </w:rPr>
                  </w:pPr>
                  <w:r>
                    <w:rPr>
                      <w:rtl/>
                    </w:rPr>
                    <w:t>(1) לגבר באחד הגילים שמ-18 עד 39 ועד בכלל, ולאשה באחד</w:t>
                  </w:r>
                </w:p>
                <w:p w:rsidR="007078C9" w:rsidRDefault="007078C9">
                  <w:pPr>
                    <w:pStyle w:val="OCRStyle2"/>
                    <w:ind w:left="2484"/>
                    <w:rPr>
                      <w:rtl/>
                    </w:rPr>
                  </w:pPr>
                  <w:r>
                    <w:rPr>
                      <w:rtl/>
                    </w:rPr>
                    <w:t>הגילים שמ-18 ועד 34 ועד בכלל — עד שלושים ואחד ימי שי-</w:t>
                  </w:r>
                </w:p>
                <w:p w:rsidR="007078C9" w:rsidRDefault="007078C9">
                  <w:pPr>
                    <w:pStyle w:val="OCRStyle2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רות לכל שנה ;</w:t>
                  </w:r>
                </w:p>
                <w:p w:rsidR="007078C9" w:rsidRDefault="007078C9">
                  <w:pPr>
                    <w:pStyle w:val="OCRStyle2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(2) לגבר באחד הגילים שמ-40 עד 49 ועד בכלל — עד ארבעה-</w:t>
                  </w:r>
                </w:p>
                <w:p w:rsidR="007078C9" w:rsidRDefault="007078C9">
                  <w:pPr>
                    <w:pStyle w:val="OCRStyle2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עשר ימי שירות לכל שנה ;</w:t>
                  </w:r>
                </w:p>
                <w:p w:rsidR="007078C9" w:rsidRDefault="007078C9">
                  <w:pPr>
                    <w:pStyle w:val="OCRStyle2"/>
                    <w:ind w:left="2498"/>
                    <w:rPr>
                      <w:rtl/>
                    </w:rPr>
                  </w:pPr>
                  <w:r>
                    <w:rPr>
                      <w:rtl/>
                    </w:rPr>
                    <w:t>(3) לגבר או אשד. בדרגת רב-טוראי או בדרגה גבוהה מזו —</w:t>
                  </w:r>
                </w:p>
                <w:p w:rsidR="007078C9" w:rsidRDefault="007078C9">
                  <w:pPr>
                    <w:pStyle w:val="OCRStyle2"/>
                    <w:ind w:left="2488"/>
                    <w:rPr>
                      <w:rtl/>
                    </w:rPr>
                  </w:pPr>
                  <w:r>
                    <w:rPr>
                      <w:rtl/>
                    </w:rPr>
                    <w:t>עד שבעה ימי שירות כל שנה נוסף לימי השירות המכרים בפס-</w:t>
                  </w:r>
                </w:p>
                <w:p w:rsidR="007078C9" w:rsidRDefault="007078C9">
                  <w:pPr>
                    <w:pStyle w:val="OCRStyle2"/>
                    <w:ind w:left="2498"/>
                    <w:rPr>
                      <w:rtl/>
                    </w:rPr>
                  </w:pPr>
                  <w:r>
                    <w:rPr>
                      <w:rtl/>
                    </w:rPr>
                    <w:t>קה (1) או (2).</w:t>
                  </w:r>
                </w:p>
                <w:p w:rsidR="007078C9" w:rsidRDefault="007078C9">
                  <w:pPr>
                    <w:pStyle w:val="OCRStyle2"/>
                    <w:ind w:left="2110"/>
                    <w:rPr>
                      <w:rtl/>
                    </w:rPr>
                  </w:pPr>
                  <w:r>
                    <w:rPr>
                      <w:rtl/>
                    </w:rPr>
                    <w:t>(0 שירות מילואים שנתי יהיה רצוף, אולם מפקד כאמור בסעיף</w:t>
                  </w:r>
                </w:p>
                <w:p w:rsidR="007078C9" w:rsidRDefault="007078C9">
                  <w:pPr>
                    <w:pStyle w:val="OCRStyle2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קטן (ג) רשאי להורות. כי תקופת שירות של יוצא-צבא בשנה מסויימת</w:t>
                  </w:r>
                </w:p>
                <w:p w:rsidR="007078C9" w:rsidRDefault="007078C9">
                  <w:pPr>
                    <w:pStyle w:val="OCRStyle2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תחולק —</w:t>
                  </w:r>
                </w:p>
                <w:p w:rsidR="007078C9" w:rsidRDefault="007078C9">
                  <w:pPr>
                    <w:pStyle w:val="OCRStyle2"/>
                    <w:ind w:left="2498"/>
                    <w:rPr>
                      <w:rtl/>
                    </w:rPr>
                  </w:pPr>
                  <w:r>
                    <w:rPr>
                      <w:rtl/>
                    </w:rPr>
                    <w:t>(1) לשנים — אם ראש המטה הכללי של צבא-הגנה לישראל/</w:t>
                  </w:r>
                </w:p>
                <w:p w:rsidR="007078C9" w:rsidRDefault="007078C9">
                  <w:pPr>
                    <w:pStyle w:val="OCRStyle2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או מפקד בדרגת אלוף שהוסמך לכך על ידיו, הרשה זאת לגבי</w:t>
                  </w:r>
                </w:p>
                <w:p w:rsidR="007078C9" w:rsidRDefault="007078C9">
                  <w:pPr>
                    <w:pStyle w:val="OCRStyle2"/>
                    <w:ind w:left="2502"/>
                    <w:rPr>
                      <w:rtl/>
                    </w:rPr>
                  </w:pPr>
                  <w:r>
                    <w:rPr>
                      <w:rtl/>
                    </w:rPr>
                    <w:t>אותה שנת שירות, בין של יוצא-צבא זה ובין של אותו סוג</w:t>
                  </w:r>
                </w:p>
                <w:p w:rsidR="007078C9" w:rsidRDefault="007078C9">
                  <w:pPr>
                    <w:pStyle w:val="OCRStyle2"/>
                    <w:ind w:left="2506"/>
                    <w:rPr>
                      <w:rtl/>
                    </w:rPr>
                  </w:pPr>
                  <w:r>
                    <w:rPr>
                      <w:rtl/>
                    </w:rPr>
                    <w:t>יוצאי-צבא; או</w:t>
                  </w:r>
                </w:p>
                <w:p w:rsidR="007078C9" w:rsidRDefault="007078C9">
                  <w:pPr>
                    <w:pStyle w:val="OCRStyle2"/>
                    <w:ind w:left="2502"/>
                    <w:rPr>
                      <w:rtl/>
                    </w:rPr>
                  </w:pPr>
                  <w:r>
                    <w:rPr>
                      <w:rtl/>
                    </w:rPr>
                    <w:t>(2) לשנים או ליותר — אם הסכים לכך יוצא-הצבא בכתב.</w:t>
                  </w:r>
                </w:p>
                <w:p w:rsidR="007078C9" w:rsidRDefault="007078C9">
                  <w:pPr>
                    <w:pStyle w:val="OCRStyle2"/>
                    <w:ind w:left="2117"/>
                    <w:rPr>
                      <w:rtl/>
                    </w:rPr>
                  </w:pPr>
                  <w:r>
                    <w:rPr>
                      <w:rtl/>
                    </w:rPr>
                    <w:t>(ז) יוצא-צבא אשר בשרתו בשירות מילואים היה כלוא על עבירה</w:t>
                  </w:r>
                </w:p>
                <w:p w:rsidR="007078C9" w:rsidRDefault="007078C9">
                  <w:pPr>
                    <w:pStyle w:val="OCRStyle2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על פי פסק דין של בית דין צבאי או של בית משפט או נעדר מהשירות ללא</w:t>
                  </w:r>
                </w:p>
                <w:p w:rsidR="007078C9" w:rsidRDefault="007078C9">
                  <w:pPr>
                    <w:pStyle w:val="OCRStyle2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צידוק מספיק, הרי בחישוב זמן השירות אין רואים את תקופת כליאתו או</w:t>
                  </w:r>
                </w:p>
                <w:p w:rsidR="007078C9" w:rsidRDefault="007078C9">
                  <w:pPr>
                    <w:pStyle w:val="OCRStyle2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היעדרו, כאמור, כתקופה שבה מילא חובת שירות מילואים.</w:t>
                  </w:r>
                </w:p>
                <w:p w:rsidR="007078C9" w:rsidRDefault="007078C9">
                  <w:pPr>
                    <w:pStyle w:val="OCRStyle2"/>
                    <w:ind w:left="2120"/>
                    <w:rPr>
                      <w:rtl/>
                    </w:rPr>
                  </w:pPr>
                  <w:r>
                    <w:rPr>
                      <w:rtl/>
                    </w:rPr>
                    <w:t>(ח) שר הבטחון רשאי לקבוע בתקנות —</w:t>
                  </w:r>
                </w:p>
                <w:p w:rsidR="007078C9" w:rsidRDefault="007078C9">
                  <w:pPr>
                    <w:pStyle w:val="OCRStyle2"/>
                    <w:ind w:left="2502"/>
                    <w:rPr>
                      <w:rtl/>
                    </w:rPr>
                  </w:pPr>
                  <w:r>
                    <w:rPr>
                      <w:rtl/>
                    </w:rPr>
                    <w:t>(1) את אופן חישוב השנה לצורך סעיף זה ;</w:t>
                  </w:r>
                </w:p>
                <w:p w:rsidR="007078C9" w:rsidRDefault="007078C9">
                  <w:pPr>
                    <w:pStyle w:val="OCRStyle2"/>
                    <w:ind w:left="2513"/>
                    <w:rPr>
                      <w:rtl/>
                    </w:rPr>
                  </w:pPr>
                  <w:r>
                    <w:rPr>
                      <w:rtl/>
                    </w:rPr>
                    <w:t>(2) את מידת תחולתן של הוראות סעיף זה לגבי שנה מסויימת</w:t>
                  </w:r>
                </w:p>
                <w:p w:rsidR="007078C9" w:rsidRDefault="007078C9">
                  <w:pPr>
                    <w:pStyle w:val="OCRStyle2"/>
                    <w:ind w:left="2506"/>
                    <w:rPr>
                      <w:rtl/>
                    </w:rPr>
                  </w:pPr>
                  <w:r>
                    <w:rPr>
                      <w:rtl/>
                    </w:rPr>
                    <w:t>על מי שסיים תוך אותה שנה את שירותו הסדיר ;</w:t>
                  </w:r>
                </w:p>
                <w:p w:rsidR="007078C9" w:rsidRDefault="007078C9">
                  <w:pPr>
                    <w:pStyle w:val="OCRStyle2"/>
                    <w:ind w:left="2506"/>
                    <w:rPr>
                      <w:rtl/>
                    </w:rPr>
                  </w:pPr>
                  <w:r>
                    <w:rPr>
                      <w:rtl/>
                    </w:rPr>
                    <w:t>(3) את דינה של תקופת שירות מילואים שנתי שהתחילה בשל-</w:t>
                  </w:r>
                </w:p>
                <w:p w:rsidR="007078C9" w:rsidRDefault="007078C9">
                  <w:pPr>
                    <w:pStyle w:val="OCRStyle2"/>
                    <w:ind w:left="2502"/>
                    <w:rPr>
                      <w:rtl/>
                    </w:rPr>
                  </w:pPr>
                  <w:r>
                    <w:rPr>
                      <w:rtl/>
                    </w:rPr>
                    <w:t>הי שנה אחת ונסתימה, תוך כדי שירות רצוף, בשנה שלאחריה.</w:t>
                  </w:r>
                </w:p>
                <w:p w:rsidR="007078C9" w:rsidRDefault="007078C9">
                  <w:pPr>
                    <w:pStyle w:val="OCRStyle2"/>
                    <w:ind w:left="2120"/>
                    <w:rPr>
                      <w:rtl/>
                    </w:rPr>
                  </w:pPr>
                  <w:r>
                    <w:rPr>
                      <w:rtl/>
                    </w:rPr>
                    <w:t>בתקנות אלה מותר לקבוע, שכולן או מקצתן יחולו למפרע לגבי כל</w:t>
                  </w:r>
                </w:p>
                <w:p w:rsidR="007078C9" w:rsidRDefault="007078C9">
                  <w:pPr>
                    <w:pStyle w:val="OCRStyle2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תקופה שלפני תחילת תקפו של חוק שירות בטחון (תיקון) (מס׳ 2),</w:t>
                  </w:r>
                </w:p>
                <w:p w:rsidR="007078C9" w:rsidRDefault="007078C9">
                  <w:pPr>
                    <w:pStyle w:val="OCRStyle2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תשי״א—1951״</w:t>
                  </w:r>
                </w:p>
                <w:p w:rsidR="007078C9" w:rsidRDefault="007078C9">
                  <w:pPr>
                    <w:pStyle w:val="OCRStyle2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(ג) בסעיף 10 (ב) במקום המלים ״שנקבע, בצו, להתייצבות״ יבואו המלים ״שנקבע</w:t>
                  </w:r>
                </w:p>
                <w:p w:rsidR="007078C9" w:rsidRDefault="007078C9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להתייצבותו, בצו או בקריאה לפי סעיף 7 (ג)״.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E72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2F7405-7234-4127-BBB5-91353DF9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726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078C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2008-04-06T17:30:00Z</dcterms:created>
  <dcterms:modified xsi:type="dcterms:W3CDTF">2008-04-06T17:30:00Z</dcterms:modified>
</cp:coreProperties>
</file>