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7260D" w:rsidRDefault="0007260D">
      <w:pPr>
        <w:rPr>
          <w:rtl/>
        </w:rPr>
      </w:pPr>
    </w:p>
    <w:p w:rsidR="0007260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02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4020" inset="0,0,0,0">
              <w:txbxContent>
                <w:p w:rsidR="009F434C" w:rsidRDefault="009F434C">
                  <w:r>
                    <w:rPr>
                      <w:rtl/>
                    </w:rPr>
                    <w:t>135                                          ספר החוקים 803                   א' בניסן התשל"ו 01.04.1976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21" o:spid="_x0000_s1026" type="#_x0000_t202" style="position:absolute;left:0;text-align:left;margin-left:135.4pt;margin-top:645.2pt;width:399.35pt;height:102.35pt;z-index:3;mso-position-horizontal-relative:page;mso-position-vertical-relative:page" stroked="f">
            <v:textbox style="mso-next-textbox:#_x0000_s24021" inset="0,0,0,0">
              <w:txbxContent>
                <w:p w:rsidR="009F434C" w:rsidRDefault="009F434C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באדר ב' תשל"ו (31 במרס 1076); הגעת החוק ודברי הסבר פורסמו בה"ח 1229,תשל"ו,</w:t>
                  </w:r>
                </w:p>
                <w:p w:rsidR="009F434C" w:rsidRDefault="009F434C">
                  <w:pPr>
                    <w:pStyle w:val="OCRStyle1"/>
                    <w:ind w:left="46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176.</w:t>
                  </w:r>
                </w:p>
                <w:p w:rsidR="009F434C" w:rsidRDefault="009F434C">
                  <w:pPr>
                    <w:pStyle w:val="OCRStyle1"/>
                    <w:ind w:left="36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ס'"ח תשי"ט, עמ' 306; תש"'ך, עמ' 96; תשכ"ג, עמ' 113; תשכ"ו, עמ' 60 ,עמ' 74; תשכ"ז, עמ' 98; תש"ל,</w:t>
                  </w:r>
                </w:p>
                <w:p w:rsidR="009F434C" w:rsidRDefault="009F434C">
                  <w:pPr>
                    <w:pStyle w:val="OCRStyle1"/>
                    <w:ind w:left="46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60; תשל''ג, עמ' 110; תשל"ד, עמ' 104; תשל"ה, עמ' 194.</w:t>
                  </w:r>
                </w:p>
                <w:p w:rsidR="009F434C" w:rsidRPr="0007260D" w:rsidRDefault="009F434C">
                  <w:pPr>
                    <w:pStyle w:val="OCRStyle1"/>
                    <w:ind w:left="36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תשי"א,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22" o:spid="_x0000_s1027" type="#_x0000_t202" style="position:absolute;left:0;text-align:left;margin-left:79pt;margin-top:109.2pt;width:462.75pt;height:497.55pt;z-index:2;mso-position-horizontal-relative:page;mso-position-vertical-relative:page" stroked="f">
            <v:textbox style="mso-next-textbox:#_x0000_s2402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3"/>
                    <w:gridCol w:w="5595"/>
                    <w:gridCol w:w="1476"/>
                  </w:tblGrid>
                  <w:tr w:rsidR="009F434C" w:rsidRPr="0007260D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9F434C" w:rsidRPr="0007260D" w:rsidRDefault="009F434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202" w:type="pct"/>
                        <w:gridSpan w:val="2"/>
                      </w:tcPr>
                      <w:p w:rsidR="009F434C" w:rsidRDefault="009F434C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כסעיף 1 לחוק שירות מילואים (תגמולים), תשי"ט-1959 [נוסח משולב] 1 (להלן -</w:t>
                        </w:r>
                      </w:p>
                      <w:p w:rsidR="009F434C" w:rsidRDefault="009F43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 -</w:t>
                        </w:r>
                      </w:p>
                      <w:p w:rsidR="009F434C" w:rsidRDefault="009F43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בהגדרת "הכנסה", פסקאות (2) ו-(3) - בטלות, והסיטה,</w:t>
                        </w:r>
                      </w:p>
                      <w:p w:rsidR="009F434C" w:rsidRDefault="009F43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"הכל בכפוף למקסימום" - תימחק;</w:t>
                        </w:r>
                      </w:p>
                      <w:p w:rsidR="009F434C" w:rsidRPr="0007260D" w:rsidRDefault="009F43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(כ) - כטל, והסימון (א) יימחק.</w:t>
                        </w:r>
                      </w:p>
                    </w:tc>
                  </w:tr>
                  <w:tr w:rsidR="009F434C" w:rsidRPr="0007260D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9F434C" w:rsidRPr="0007260D" w:rsidRDefault="009F434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202" w:type="pct"/>
                        <w:gridSpan w:val="2"/>
                      </w:tcPr>
                      <w:p w:rsidR="009F434C" w:rsidRDefault="009F434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3(0 לחוק העיקרי, כמקום פסקה (2) יבוא:</w:t>
                        </w:r>
                      </w:p>
                      <w:p w:rsidR="009F434C" w:rsidRDefault="009F43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היה מצוי כהכשרה מקצועית או בשיקום מקצועי</w:t>
                        </w:r>
                      </w:p>
                      <w:p w:rsidR="009F434C" w:rsidRDefault="009F43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שאישרם שר העבודה בצו ונתמלאו בו תנאי התשלום לקרן</w:t>
                        </w:r>
                      </w:p>
                      <w:p w:rsidR="009F434C" w:rsidRDefault="009F43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ההשוואה, ובלבד שלא היה אותה שעה עובד, עובד עצמאי</w:t>
                        </w:r>
                      </w:p>
                      <w:p w:rsidR="009F434C" w:rsidRPr="0007260D" w:rsidRDefault="009F43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תלמיד;".</w:t>
                        </w:r>
                      </w:p>
                    </w:tc>
                  </w:tr>
                  <w:tr w:rsidR="009F434C" w:rsidRPr="0007260D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9F434C" w:rsidRPr="0007260D" w:rsidRDefault="009F434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202" w:type="pct"/>
                        <w:gridSpan w:val="2"/>
                      </w:tcPr>
                      <w:p w:rsidR="009F434C" w:rsidRDefault="009F434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 בסעיף 13 לחוק העיקרי, במקום סעיף קטן (ב) יבוא:</w:t>
                        </w:r>
                      </w:p>
                      <w:p w:rsidR="009F434C" w:rsidRDefault="009F43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עובד שאינו עובד חדשי, שעבד ברבע השנה שקדם לשירותו</w:t>
                        </w:r>
                      </w:p>
                      <w:p w:rsidR="009F434C" w:rsidRDefault="009F43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במילואים פחות מ-75 ימים רצופים אצל מעביד אחד או במקום עבודה</w:t>
                        </w:r>
                      </w:p>
                      <w:p w:rsidR="009F434C" w:rsidRDefault="009F43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אחד, ישולם לו התגמול על ידי קרן ההשוואה: קרן החופשה שבאמצעותה</w:t>
                        </w:r>
                      </w:p>
                      <w:p w:rsidR="009F434C" w:rsidRDefault="009F43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משתלמת לאותו עובד תמורת חופשה לפי חוק החופשה השנתית, תשי"א-</w:t>
                        </w:r>
                      </w:p>
                      <w:p w:rsidR="009F434C" w:rsidRDefault="009F43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1951 2,  תמציא לקרן ההשוואה, לפי דרישתה, את הפרטים הנוגעים</w:t>
                        </w:r>
                      </w:p>
                      <w:p w:rsidR="009F434C" w:rsidRPr="0007260D" w:rsidRDefault="009F43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לשכרו של העובד בתקופה שלגביה משולם התגמול."</w:t>
                        </w:r>
                      </w:p>
                    </w:tc>
                  </w:tr>
                  <w:tr w:rsidR="009F434C" w:rsidRPr="0007260D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9F434C" w:rsidRPr="0007260D" w:rsidRDefault="009F434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ג1א</w:t>
                        </w:r>
                      </w:p>
                    </w:tc>
                    <w:tc>
                      <w:tcPr>
                        <w:tcW w:w="4202" w:type="pct"/>
                        <w:gridSpan w:val="2"/>
                      </w:tcPr>
                      <w:p w:rsidR="009F434C" w:rsidRPr="0007260D" w:rsidRDefault="009F43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אחרי סעיף 13 לחוק העיקרי יבוא:</w:t>
                        </w:r>
                      </w:p>
                    </w:tc>
                  </w:tr>
                  <w:tr w:rsidR="009F434C" w:rsidRPr="0007260D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9F434C" w:rsidRDefault="009F434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5" w:type="pct"/>
                      </w:tcPr>
                      <w:p w:rsidR="009F434C" w:rsidRDefault="009F43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13א. אדם שהחל לשרת במילואים תוך תקופה שנקבעה לכך בתקנות</w:t>
                        </w:r>
                      </w:p>
                      <w:p w:rsidR="009F434C" w:rsidRDefault="009F43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מסיום שירותו הקודם במילואים שבעדו קיבל תגמול לפי חוק זה, יראוהו</w:t>
                        </w:r>
                      </w:p>
                      <w:p w:rsidR="009F434C" w:rsidRDefault="009F43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הזכאות לתגמול וחישובו בעד תקופת שירותו הנוסף כממשיך</w:t>
                        </w:r>
                      </w:p>
                      <w:p w:rsidR="009F434C" w:rsidRDefault="009F43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בשירותו הקודם, זולת אם לטובתו הוא שחישוב התגמול ייעשה ללא</w:t>
                        </w:r>
                      </w:p>
                      <w:p w:rsidR="009F434C" w:rsidRDefault="009F43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התייחסות לשירותו הקודם."</w:t>
                        </w:r>
                      </w:p>
                    </w:tc>
                    <w:tc>
                      <w:tcPr>
                        <w:tcW w:w="877" w:type="pct"/>
                      </w:tcPr>
                      <w:p w:rsidR="009F434C" w:rsidRDefault="009F43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 בשירות</w:t>
                        </w:r>
                      </w:p>
                      <w:p w:rsidR="009F434C" w:rsidRPr="0007260D" w:rsidRDefault="009F434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נוסף במילואים</w:t>
                        </w:r>
                      </w:p>
                    </w:tc>
                  </w:tr>
                  <w:tr w:rsidR="009F434C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9F434C" w:rsidRPr="0007260D" w:rsidRDefault="009F434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28</w:t>
                        </w:r>
                      </w:p>
                    </w:tc>
                    <w:tc>
                      <w:tcPr>
                        <w:tcW w:w="4202" w:type="pct"/>
                        <w:gridSpan w:val="2"/>
                      </w:tcPr>
                      <w:p w:rsidR="009F434C" w:rsidRDefault="009F43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25 (ג) לחוק העיקרי, אחרי "סעיפים קטנים" יבוא "(כ)".</w:t>
                        </w:r>
                      </w:p>
                    </w:tc>
                  </w:tr>
                  <w:tr w:rsidR="009F434C" w:rsidRPr="0007260D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9F434C" w:rsidRPr="0007260D" w:rsidRDefault="009F434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25א</w:t>
                        </w:r>
                      </w:p>
                    </w:tc>
                    <w:tc>
                      <w:tcPr>
                        <w:tcW w:w="4202" w:type="pct"/>
                        <w:gridSpan w:val="2"/>
                      </w:tcPr>
                      <w:p w:rsidR="009F434C" w:rsidRDefault="009F434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25א לחוק העיקרי, בסעיף קטן (א), בסופו יבוא "וכן חוב של דמי ביטוח לפי</w:t>
                        </w:r>
                      </w:p>
                      <w:p w:rsidR="009F434C" w:rsidRPr="0007260D" w:rsidRDefault="009F43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הביטוח המגיע ממנו".</w:t>
                        </w:r>
                      </w:p>
                    </w:tc>
                  </w:tr>
                </w:tbl>
                <w:p w:rsidR="009F434C" w:rsidRDefault="009F434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023" o:spid="_x0000_s1028" type="#_x0000_t202" style="position:absolute;left:0;text-align:left;margin-left:163.55pt;margin-top:72.55pt;width:351.65pt;height:32.25pt;z-index:1;mso-position-horizontal-relative:page;mso-position-vertical-relative:page" stroked="f">
            <v:textbox style="mso-next-textbox:#_x0000_s24023" inset="0,0,0,0">
              <w:txbxContent>
                <w:p w:rsidR="009F434C" w:rsidRPr="0007260D" w:rsidRDefault="009F434C">
                  <w:pPr>
                    <w:pStyle w:val="OCRStyle1"/>
                    <w:ind w:left="184"/>
                    <w:rPr>
                      <w:sz w:val="30"/>
                      <w:szCs w:val="30"/>
                    </w:rPr>
                  </w:pPr>
                  <w:r>
                    <w:rPr>
                      <w:rtl/>
                    </w:rPr>
                    <w:t>חוק שירות מילואים (תגמולים) (תיקון מס' 10), תשל"ו-1976 *</w:t>
                  </w:r>
                </w:p>
              </w:txbxContent>
            </v:textbox>
            <w10:wrap anchorx="page" anchory="page"/>
          </v:shape>
        </w:pict>
      </w:r>
    </w:p>
    <w:p w:rsidR="009F434C" w:rsidRDefault="009F434C">
      <w:pPr>
        <w:rPr>
          <w:rtl/>
        </w:rPr>
      </w:pPr>
      <w:r>
        <w:rPr>
          <w:rtl/>
        </w:rPr>
        <w:br w:type="page"/>
      </w:r>
    </w:p>
    <w:p w:rsidR="009F434C" w:rsidRDefault="00000000">
      <w:pPr>
        <w:rPr>
          <w:rtl/>
        </w:rPr>
      </w:pPr>
      <w:r>
        <w:pict>
          <v:shape id="_x0000_s24024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4024" inset="0,0,0,0">
              <w:txbxContent>
                <w:p w:rsidR="009F434C" w:rsidRDefault="009F434C">
                  <w:r>
                    <w:rPr>
                      <w:rtl/>
                    </w:rPr>
                    <w:t>136                                          ספר החוקים 803                   א' בניסן התשל"ו 01.04.1976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25" o:spid="_x0000_s1030" type="#_x0000_t202" style="position:absolute;left:0;text-align:left;margin-left:92.95pt;margin-top:744.55pt;width:180.4pt;height:29.5pt;z-index:9;mso-position-horizontal-relative:page;mso-position-vertical-relative:page" stroked="f">
            <v:textbox style="mso-next-textbox:#_x0000_s24025" inset="0,0,0,0">
              <w:txbxContent>
                <w:p w:rsidR="009F434C" w:rsidRDefault="009F434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4026" o:spid="_x0000_s1031" type="#_x0000_t202" style="position:absolute;left:0;text-align:left;margin-left:117.5pt;margin-top:574.5pt;width:101pt;height:46.35pt;z-index:8;mso-position-horizontal-relative:page;mso-position-vertical-relative:page" stroked="f">
            <v:textbox style="mso-next-textbox:#_x0000_s24026" inset="0,0,0,0">
              <w:txbxContent>
                <w:p w:rsidR="009F434C" w:rsidRDefault="009F434C">
                  <w:pPr>
                    <w:pStyle w:val="OCRStyle2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משה כרעם</w:t>
                  </w:r>
                </w:p>
                <w:p w:rsidR="009F434C" w:rsidRDefault="009F434C">
                  <w:pPr>
                    <w:pStyle w:val="OCRStyle2"/>
                    <w:ind w:left="551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27" o:spid="_x0000_s1032" type="#_x0000_t202" style="position:absolute;left:0;text-align:left;margin-left:242.05pt;margin-top:581.2pt;width:87.7pt;height:41.2pt;z-index:7;mso-position-horizontal-relative:page;mso-position-vertical-relative:page" stroked="f">
            <v:textbox style="mso-next-textbox:#_x0000_s24027" inset="0,0,0,0">
              <w:txbxContent>
                <w:p w:rsidR="009F434C" w:rsidRDefault="009F434C">
                  <w:pPr>
                    <w:pStyle w:val="OCRStyle2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F434C" w:rsidRDefault="009F434C">
                  <w:pPr>
                    <w:pStyle w:val="OCRStyle2"/>
                    <w:ind w:left="29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28" o:spid="_x0000_s1033" type="#_x0000_t202" style="position:absolute;left:0;text-align:left;margin-left:396.3pt;margin-top:608.15pt;width:83.35pt;height:30.3pt;z-index:6;mso-position-horizontal-relative:page;mso-position-vertical-relative:page" stroked="f">
            <v:textbox style="mso-next-textbox:#_x0000_s24028" inset="0,0,0,0">
              <w:txbxContent>
                <w:p w:rsidR="009F434C" w:rsidRDefault="009F434C">
                  <w:pPr>
                    <w:pStyle w:val="OCRStyle2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9F434C" w:rsidRDefault="009F434C">
                  <w:pPr>
                    <w:pStyle w:val="OCRStyle2"/>
                    <w:ind w:left="2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29" o:spid="_x0000_s1034" type="#_x0000_t202" style="position:absolute;left:0;text-align:left;margin-left:88.8pt;margin-top:85.05pt;width:474.4pt;height:462.55pt;z-index:5;mso-position-horizontal-relative:page;mso-position-vertical-relative:page" stroked="f">
            <v:textbox style="mso-next-textbox:#_x0000_s2402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97"/>
                    <w:gridCol w:w="1379"/>
                    <w:gridCol w:w="1451"/>
                  </w:tblGrid>
                  <w:tr w:rsidR="009F434C" w:rsidRPr="009F434C">
                    <w:trPr>
                      <w:jc w:val="right"/>
                    </w:trPr>
                    <w:tc>
                      <w:tcPr>
                        <w:tcW w:w="4159" w:type="pct"/>
                        <w:gridSpan w:val="2"/>
                      </w:tcPr>
                      <w:p w:rsidR="009F434C" w:rsidRPr="009F434C" w:rsidRDefault="009F43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אחרי סעיף 25א לחוק העיקרי יבוא:</w:t>
                        </w:r>
                      </w:p>
                    </w:tc>
                    <w:tc>
                      <w:tcPr>
                        <w:tcW w:w="841" w:type="pct"/>
                      </w:tcPr>
                      <w:p w:rsidR="009F434C" w:rsidRPr="009F434C" w:rsidRDefault="009F43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מעיף 25ב</w:t>
                        </w:r>
                      </w:p>
                    </w:tc>
                  </w:tr>
                  <w:tr w:rsidR="009F434C">
                    <w:trPr>
                      <w:jc w:val="right"/>
                    </w:trPr>
                    <w:tc>
                      <w:tcPr>
                        <w:tcW w:w="3360" w:type="pct"/>
                      </w:tcPr>
                      <w:p w:rsidR="009F434C" w:rsidRDefault="009F43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25ב. (א) קרן ההשוואה תהיה רשאית, לאחר-התייעצות עם המועצה</w:t>
                        </w:r>
                      </w:p>
                      <w:p w:rsidR="009F434C" w:rsidRDefault="009F43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וכאישור שר העבודה, ליתן הענקות -</w:t>
                        </w:r>
                      </w:p>
                      <w:p w:rsidR="009F434C" w:rsidRDefault="009F43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לנערים עובדים עד גיל 18 שנעדרו מעבודתם עקב</w:t>
                        </w:r>
                      </w:p>
                      <w:p w:rsidR="009F434C" w:rsidRDefault="009F43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השתתפותם בחינוך קדם צבאי, הכל לפי כללים שייקבעו</w:t>
                        </w:r>
                      </w:p>
                      <w:p w:rsidR="009F434C" w:rsidRDefault="009F43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באישור ועדת העבודה של הכנסת;</w:t>
                        </w:r>
                      </w:p>
                      <w:p w:rsidR="009F434C" w:rsidRDefault="009F43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לפיתוח שירותי רווחה למשרתים במילואים ובני מש-</w:t>
                        </w:r>
                      </w:p>
                      <w:p w:rsidR="009F434C" w:rsidRDefault="009F43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פחותיהם, לרבות ביצוע מחקרים ופעולות נסיוניות בקשר</w:t>
                        </w:r>
                      </w:p>
                      <w:p w:rsidR="009F434C" w:rsidRDefault="009F43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לכך-</w:t>
                        </w:r>
                      </w:p>
                      <w:p w:rsidR="009F434C" w:rsidRDefault="009F43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שסך כל הענקות לשנה לא יעלה על 0.25% מאומדן הגביה השנתית</w:t>
                        </w:r>
                      </w:p>
                      <w:p w:rsidR="009F434C" w:rsidRDefault="009F43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קרן ההשוואה.</w:t>
                        </w:r>
                      </w:p>
                      <w:p w:rsidR="009F434C" w:rsidRDefault="009F43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העבודה, בהתייעצות עם שר האוצר, יהיה רשאי להגדיל,</w:t>
                        </w:r>
                      </w:p>
                      <w:p w:rsidR="009F434C" w:rsidRDefault="009F43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העבודה של הכנסת, את השיעור הנקוב בסעיף קטן (א)</w:t>
                        </w:r>
                      </w:p>
                      <w:p w:rsidR="009F434C" w:rsidRDefault="009F43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ל-0.5% מאומדן הגביה השנתית של קרן ההשוואה."</w:t>
                        </w:r>
                      </w:p>
                    </w:tc>
                    <w:tc>
                      <w:tcPr>
                        <w:tcW w:w="799" w:type="pct"/>
                      </w:tcPr>
                      <w:p w:rsidR="009F434C" w:rsidRPr="009F434C" w:rsidRDefault="009F43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''הענקות</w:t>
                        </w:r>
                      </w:p>
                    </w:tc>
                    <w:tc>
                      <w:tcPr>
                        <w:tcW w:w="841" w:type="pct"/>
                      </w:tcPr>
                      <w:p w:rsidR="009F434C" w:rsidRDefault="009F434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F434C" w:rsidRPr="009F434C">
                    <w:trPr>
                      <w:jc w:val="right"/>
                    </w:trPr>
                    <w:tc>
                      <w:tcPr>
                        <w:tcW w:w="4159" w:type="pct"/>
                        <w:gridSpan w:val="2"/>
                      </w:tcPr>
                      <w:p w:rsidR="009F434C" w:rsidRPr="009F434C" w:rsidRDefault="009F43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כסעיף 26 לחוק העיקרי, בסעיף קטן (א), הסיפה המתחילה במלה "אולם" - תימחק.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9F434C" w:rsidRPr="009F434C" w:rsidRDefault="009F43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</w:tr>
                  <w:tr w:rsidR="009F434C" w:rsidRPr="009F434C">
                    <w:trPr>
                      <w:jc w:val="right"/>
                    </w:trPr>
                    <w:tc>
                      <w:tcPr>
                        <w:tcW w:w="4159" w:type="pct"/>
                        <w:gridSpan w:val="2"/>
                      </w:tcPr>
                      <w:p w:rsidR="009F434C" w:rsidRPr="009F434C" w:rsidRDefault="009F43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29 (ב) לחוק העיקרי, המלים "לפי סעיף 25 (א)" - יימחקו.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9F434C" w:rsidRPr="009F434C" w:rsidRDefault="009F43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</w:t>
                        </w:r>
                      </w:p>
                    </w:tc>
                  </w:tr>
                  <w:tr w:rsidR="009F434C" w:rsidRPr="009F434C">
                    <w:trPr>
                      <w:jc w:val="right"/>
                    </w:trPr>
                    <w:tc>
                      <w:tcPr>
                        <w:tcW w:w="4159" w:type="pct"/>
                        <w:gridSpan w:val="2"/>
                      </w:tcPr>
                      <w:p w:rsidR="009F434C" w:rsidRPr="009F434C" w:rsidRDefault="009F43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אחרי סעיף 36ב לחוק העיקרי יבוא:</w:t>
                        </w:r>
                      </w:p>
                    </w:tc>
                    <w:tc>
                      <w:tcPr>
                        <w:tcW w:w="841" w:type="pct"/>
                      </w:tcPr>
                      <w:p w:rsidR="009F434C" w:rsidRPr="009F434C" w:rsidRDefault="009F43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36ג</w:t>
                        </w:r>
                      </w:p>
                    </w:tc>
                  </w:tr>
                  <w:tr w:rsidR="009F434C">
                    <w:trPr>
                      <w:jc w:val="right"/>
                    </w:trPr>
                    <w:tc>
                      <w:tcPr>
                        <w:tcW w:w="3360" w:type="pct"/>
                      </w:tcPr>
                      <w:p w:rsidR="009F434C" w:rsidRDefault="009F43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36ג. שר המשפטים, בהתייעצות עם שר העבודה, רשאי להתקין תקנות</w:t>
                        </w:r>
                      </w:p>
                      <w:p w:rsidR="009F434C" w:rsidRDefault="009F43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מועדים להגשת תובענות וערעורים לענין חוק זה לפני בית הדין</w:t>
                        </w:r>
                      </w:p>
                      <w:p w:rsidR="009F434C" w:rsidRDefault="009F43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לעבודה."</w:t>
                        </w:r>
                      </w:p>
                    </w:tc>
                    <w:tc>
                      <w:tcPr>
                        <w:tcW w:w="799" w:type="pct"/>
                      </w:tcPr>
                      <w:p w:rsidR="009F434C" w:rsidRPr="009F434C" w:rsidRDefault="009F43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"קביעת מועדים</w:t>
                        </w:r>
                      </w:p>
                    </w:tc>
                    <w:tc>
                      <w:tcPr>
                        <w:tcW w:w="841" w:type="pct"/>
                      </w:tcPr>
                      <w:p w:rsidR="009F434C" w:rsidRDefault="009F434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F434C" w:rsidRPr="009F434C">
                    <w:trPr>
                      <w:jc w:val="right"/>
                    </w:trPr>
                    <w:tc>
                      <w:tcPr>
                        <w:tcW w:w="4159" w:type="pct"/>
                        <w:gridSpan w:val="2"/>
                      </w:tcPr>
                      <w:p w:rsidR="009F434C" w:rsidRDefault="009F43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תחילתה של החובה שעל קיבוץ ועל מושב שיתופי לשלם לפי החוק העיקרי בעד</w:t>
                        </w:r>
                      </w:p>
                      <w:p w:rsidR="009F434C" w:rsidRDefault="009F43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חבריהם לקרן ההשוואה, ושל זכות חבריהם לתגמול, מיום י"א בתמוו תשל"ד (1 ביולי</w:t>
                        </w:r>
                      </w:p>
                      <w:p w:rsidR="009F434C" w:rsidRPr="009F434C" w:rsidRDefault="009F43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1974).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9F434C" w:rsidRPr="009F434C" w:rsidRDefault="009F43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9F434C" w:rsidRDefault="009F434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7260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1867C9E-A77E-4BBC-BB12-13A71953C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7260D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9F434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2008-04-06T22:39:00Z</dcterms:created>
  <dcterms:modified xsi:type="dcterms:W3CDTF">2008-04-06T22:39:00Z</dcterms:modified>
</cp:coreProperties>
</file>