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D3BC9" w:rsidRDefault="008D3BC9">
      <w:pPr>
        <w:rPr>
          <w:rtl/>
        </w:rPr>
      </w:pPr>
    </w:p>
    <w:p w:rsidR="008D3BC9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4130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24130" inset="0,0,0,0">
              <w:txbxContent>
                <w:p w:rsidR="00470E38" w:rsidRDefault="00470E38">
                  <w:r>
                    <w:rPr>
                      <w:rtl/>
                    </w:rPr>
                    <w:t>100                                          ספר החוקים 280                   ט' בניסן התשי"ט 17.04.1959</w:t>
                  </w:r>
                </w:p>
              </w:txbxContent>
            </v:textbox>
            <w10:wrap anchorx="page" anchory="page"/>
          </v:shape>
        </w:pict>
      </w:r>
      <w:r>
        <w:pict>
          <v:shape id="_x0000_s24131" o:spid="_x0000_s1026" type="#_x0000_t202" style="position:absolute;left:0;text-align:left;margin-left:85.6pt;margin-top:650.6pt;width:392.45pt;height:89.3pt;z-index:3;mso-position-horizontal-relative:page;mso-position-vertical-relative:page" stroked="f">
            <v:textbox style="mso-next-textbox:#_x0000_s24131" inset="0,0,0,0">
              <w:txbxContent>
                <w:p w:rsidR="00470E38" w:rsidRDefault="00470E38">
                  <w:pPr>
                    <w:pStyle w:val="OCRStyle1"/>
                    <w:ind w:left="223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כ"ח באדר ב' תשי''ט (7 באפריל 1959); הצעת החוק ודברי הסבר נתפרסמו בה"ח 349, תשי"ח,</w:t>
                  </w:r>
                </w:p>
                <w:p w:rsidR="00470E38" w:rsidRDefault="00470E38">
                  <w:pPr>
                    <w:pStyle w:val="OCRStyle1"/>
                    <w:ind w:left="335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280.</w:t>
                  </w:r>
                </w:p>
                <w:p w:rsidR="00470E38" w:rsidRPr="008D3BC9" w:rsidRDefault="00470E38">
                  <w:pPr>
                    <w:pStyle w:val="OCRStyle1"/>
                    <w:ind w:left="205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91, תש"ב, עמ' 119; ס"ח 165, תשי"ד, עמ' 221.</w:t>
                  </w:r>
                </w:p>
              </w:txbxContent>
            </v:textbox>
            <w10:wrap anchorx="page" anchory="page"/>
          </v:shape>
        </w:pict>
      </w:r>
      <w:r>
        <w:pict>
          <v:shape id="_x0000_s24132" o:spid="_x0000_s1027" type="#_x0000_t202" style="position:absolute;left:0;text-align:left;margin-left:83.85pt;margin-top:107.1pt;width:483.5pt;height:538.75pt;z-index:2;mso-position-horizontal-relative:page;mso-position-vertical-relative:page" stroked="f">
            <v:textbox style="mso-next-textbox:#_x0000_s24132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68"/>
                    <w:gridCol w:w="1301"/>
                    <w:gridCol w:w="1523"/>
                  </w:tblGrid>
                  <w:tr w:rsidR="00470E38" w:rsidRPr="008D3BC9">
                    <w:trPr>
                      <w:jc w:val="right"/>
                    </w:trPr>
                    <w:tc>
                      <w:tcPr>
                        <w:tcW w:w="4134" w:type="pct"/>
                        <w:gridSpan w:val="2"/>
                      </w:tcPr>
                      <w:p w:rsidR="00470E38" w:rsidRDefault="00470E38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בסעיף 1 לחוק שירות מילואים (תגמולים), תשי"ב-1952 1 (להלן - החוק העיקרי),</w:t>
                        </w:r>
                      </w:p>
                      <w:p w:rsidR="00470E38" w:rsidRPr="008D3BC9" w:rsidRDefault="00470E3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בהגדרת "הכנסה'/ לאחר "חייב לשלם", יבוא "מקדמות או".</w:t>
                        </w:r>
                      </w:p>
                    </w:tc>
                    <w:tc>
                      <w:tcPr>
                        <w:tcW w:w="866" w:type="pct"/>
                      </w:tcPr>
                      <w:p w:rsidR="00470E38" w:rsidRPr="008D3BC9" w:rsidRDefault="00470E3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</w:t>
                        </w:r>
                      </w:p>
                    </w:tc>
                  </w:tr>
                  <w:tr w:rsidR="00470E38" w:rsidRPr="008D3BC9">
                    <w:trPr>
                      <w:jc w:val="right"/>
                    </w:trPr>
                    <w:tc>
                      <w:tcPr>
                        <w:tcW w:w="4134" w:type="pct"/>
                        <w:gridSpan w:val="2"/>
                      </w:tcPr>
                      <w:p w:rsidR="00470E38" w:rsidRDefault="00470E3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2, בסעיף 2 לחוק העיקרי, כסופי/ ייוסף פסוק זה:</w:t>
                        </w:r>
                      </w:p>
                      <w:p w:rsidR="00470E38" w:rsidRDefault="00470E3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"כן ישלם לו האוצר בעד כל שלושה ימים רצופים שהוא משרת תוך</w:t>
                        </w:r>
                      </w:p>
                      <w:p w:rsidR="00470E38" w:rsidRPr="008D3BC9" w:rsidRDefault="00470E3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תקופה שבין 1 באפריל ל-31 במרס' לאחר שכבר שירת באותה תקופה שלושה ימים רצופים",</w:t>
                        </w:r>
                      </w:p>
                    </w:tc>
                    <w:tc>
                      <w:tcPr>
                        <w:tcW w:w="866" w:type="pct"/>
                      </w:tcPr>
                      <w:p w:rsidR="00470E38" w:rsidRPr="008D3BC9" w:rsidRDefault="00470E3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</w:t>
                        </w:r>
                      </w:p>
                    </w:tc>
                  </w:tr>
                  <w:tr w:rsidR="00470E38" w:rsidRPr="008D3BC9">
                    <w:trPr>
                      <w:jc w:val="right"/>
                    </w:trPr>
                    <w:tc>
                      <w:tcPr>
                        <w:tcW w:w="4134" w:type="pct"/>
                        <w:gridSpan w:val="2"/>
                      </w:tcPr>
                      <w:p w:rsidR="00470E38" w:rsidRPr="008D3BC9" w:rsidRDefault="00470E3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במקום סעיף 3 לחוק העיקרי יבוא סעיף זה:</w:t>
                        </w:r>
                      </w:p>
                    </w:tc>
                    <w:tc>
                      <w:tcPr>
                        <w:tcW w:w="866" w:type="pct"/>
                      </w:tcPr>
                      <w:p w:rsidR="00470E38" w:rsidRPr="008D3BC9" w:rsidRDefault="00470E3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3</w:t>
                        </w:r>
                      </w:p>
                    </w:tc>
                  </w:tr>
                  <w:tr w:rsidR="00470E38">
                    <w:trPr>
                      <w:jc w:val="right"/>
                    </w:trPr>
                    <w:tc>
                      <w:tcPr>
                        <w:tcW w:w="3394" w:type="pct"/>
                      </w:tcPr>
                      <w:p w:rsidR="00470E38" w:rsidRDefault="00470E3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(א) עובד או עובד עצמאי, הזכאי לפי סעיף 2 לקבל תשלום</w:t>
                        </w:r>
                      </w:p>
                      <w:p w:rsidR="00470E38" w:rsidRDefault="00470E3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מאוצר המדינה' זכאי לקבל ממעבידו' מקרן חופשה או מקרן ההשוואה</w:t>
                        </w:r>
                      </w:p>
                      <w:p w:rsidR="00470E38" w:rsidRDefault="00470E3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המוקמת לפי סעיף 8 תגמול בעד תקופת שירותו במילואים בשיעור</w:t>
                        </w:r>
                      </w:p>
                      <w:p w:rsidR="00470E38" w:rsidRDefault="00470E3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הנקוב בסעיף 4' פחות 650 פרוטה לכל יום שירותו.</w:t>
                        </w:r>
                      </w:p>
                      <w:p w:rsidR="00470E38" w:rsidRDefault="00470E3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הוראות סעיף קטן (א) לא יחולו על אדם המשרת במילואים</w:t>
                        </w:r>
                      </w:p>
                      <w:p w:rsidR="00470E38" w:rsidRDefault="00470E3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בשירות שעליו הכריז שר הבטחון שהוא שירות חירום והמקבל מאוצר</w:t>
                        </w:r>
                      </w:p>
                      <w:p w:rsidR="00470E38" w:rsidRDefault="00470E3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 תשלום שאינו תשלום לפי סעיף קטן (א) ושנקבע בצו שר הבטחון</w:t>
                        </w:r>
                      </w:p>
                      <w:p w:rsidR="00470E38" w:rsidRDefault="00470E3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באישור ועדת העבודה של הכנסת; ההכרזה והצו האמורים אינם טעונים</w:t>
                        </w:r>
                      </w:p>
                      <w:p w:rsidR="00470E38" w:rsidRPr="008D3BC9" w:rsidRDefault="00470E3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פרסום ברשומות."</w:t>
                        </w:r>
                      </w:p>
                    </w:tc>
                    <w:tc>
                      <w:tcPr>
                        <w:tcW w:w="740" w:type="pct"/>
                      </w:tcPr>
                      <w:p w:rsidR="00470E38" w:rsidRPr="008D3BC9" w:rsidRDefault="00470E3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"הזכות לתגמול</w:t>
                        </w:r>
                      </w:p>
                    </w:tc>
                    <w:tc>
                      <w:tcPr>
                        <w:tcW w:w="866" w:type="pct"/>
                      </w:tcPr>
                      <w:p w:rsidR="00470E38" w:rsidRDefault="00470E38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470E38" w:rsidRPr="008D3BC9">
                    <w:trPr>
                      <w:jc w:val="right"/>
                    </w:trPr>
                    <w:tc>
                      <w:tcPr>
                        <w:tcW w:w="4134" w:type="pct"/>
                        <w:gridSpan w:val="2"/>
                      </w:tcPr>
                      <w:p w:rsidR="00470E38" w:rsidRDefault="00470E3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4, סעיף 5 לחוק העיקרי יתוקן כך:</w:t>
                        </w:r>
                      </w:p>
                      <w:p w:rsidR="00470E38" w:rsidRDefault="00470E3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 (2)' במקום הפסוק המתחיל במלה "אולם"' יבוא פסוק זה:</w:t>
                        </w:r>
                      </w:p>
                      <w:p w:rsidR="00470E38" w:rsidRDefault="00470E3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"אולם שכר העבודה היומי הממוצע של עובד בשכר, שברבע השנה</w:t>
                        </w:r>
                      </w:p>
                      <w:p w:rsidR="00470E38" w:rsidRDefault="00470E3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שקדם לשירותו במילואים עבד פחות מששים יום, יהיה שווה לגדול</w:t>
                        </w:r>
                      </w:p>
                      <w:p w:rsidR="00470E38" w:rsidRDefault="00470E3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משני סכומים אלה:</w:t>
                        </w:r>
                      </w:p>
                      <w:p w:rsidR="00470E38" w:rsidRDefault="00470E3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לסכום היוצא מחילוק שכר שלושה חדשים/ לפי בחירת העובד'</w:t>
                        </w:r>
                      </w:p>
                      <w:p w:rsidR="00470E38" w:rsidRDefault="00470E3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מתוך ששת החדשים שקדמו לשירותו במילואים/ למספר תשעים;</w:t>
                        </w:r>
                      </w:p>
                      <w:p w:rsidR="00470E38" w:rsidRDefault="00470E3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לסכום היוצא מחילוק הקטן שבסכומים הנקובים בסעיף</w:t>
                        </w:r>
                      </w:p>
                      <w:p w:rsidR="00470E38" w:rsidRDefault="00470E3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(ב) למספר שלושים, ובלבד שברבע השנה שקדם לשירותו</w:t>
                        </w:r>
                      </w:p>
                      <w:p w:rsidR="00470E38" w:rsidRDefault="00470E3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במילואים היו לו לפחות ששים ימים מזכים;</w:t>
                        </w:r>
                      </w:p>
                      <w:p w:rsidR="00470E38" w:rsidRDefault="00470E3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"ימים מזכים" לענין פסקה זו הם:</w:t>
                        </w:r>
                      </w:p>
                      <w:p w:rsidR="00470E38" w:rsidRDefault="00470E3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ימי עבודה;</w:t>
                        </w:r>
                      </w:p>
                      <w:p w:rsidR="00470E38" w:rsidRDefault="00470E3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ימי שירות בצבא-הגנה לישראל;</w:t>
                        </w:r>
                      </w:p>
                      <w:p w:rsidR="00470E38" w:rsidRDefault="00470E3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הימים שבהם היה רשום בלשכת עבודה' מוכרת על ידי</w:t>
                        </w:r>
                      </w:p>
                      <w:p w:rsidR="00470E38" w:rsidRPr="008D3BC9" w:rsidRDefault="00470E3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העבודה לצורך סעיף זה' כדורש עבודה ולא סודר בה."</w:t>
                        </w:r>
                      </w:p>
                    </w:tc>
                    <w:tc>
                      <w:tcPr>
                        <w:tcW w:w="866" w:type="pct"/>
                      </w:tcPr>
                      <w:p w:rsidR="00470E38" w:rsidRPr="008D3BC9" w:rsidRDefault="00470E3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5</w:t>
                        </w:r>
                      </w:p>
                    </w:tc>
                  </w:tr>
                </w:tbl>
                <w:p w:rsidR="00470E38" w:rsidRDefault="00470E38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4133" o:spid="_x0000_s1028" type="#_x0000_t202" style="position:absolute;left:0;text-align:left;margin-left:127.6pt;margin-top:73.25pt;width:315.4pt;height:28.9pt;z-index:1;mso-position-horizontal-relative:page;mso-position-vertical-relative:page" stroked="f">
            <v:textbox style="mso-next-textbox:#_x0000_s24133" inset="0,0,0,0">
              <w:txbxContent>
                <w:p w:rsidR="00470E38" w:rsidRPr="008D3BC9" w:rsidRDefault="00470E38">
                  <w:pPr>
                    <w:pStyle w:val="OCRStyle1"/>
                    <w:ind w:left="180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שירות מילואים (תגמולים) (תיקון), תשי"ט~1959 *</w:t>
                  </w:r>
                </w:p>
              </w:txbxContent>
            </v:textbox>
            <w10:wrap anchorx="page" anchory="page"/>
          </v:shape>
        </w:pict>
      </w:r>
    </w:p>
    <w:p w:rsidR="003944AE" w:rsidRDefault="003944AE">
      <w:pPr>
        <w:rPr>
          <w:rtl/>
        </w:rPr>
      </w:pPr>
      <w:r>
        <w:rPr>
          <w:rtl/>
        </w:rPr>
        <w:br w:type="page"/>
      </w:r>
    </w:p>
    <w:p w:rsidR="003944AE" w:rsidRDefault="00000000">
      <w:pPr>
        <w:rPr>
          <w:rtl/>
        </w:rPr>
      </w:pPr>
      <w:r>
        <w:pict>
          <v:shape id="_x0000_s24134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4134" inset="0,0,0,0">
              <w:txbxContent>
                <w:p w:rsidR="00470E38" w:rsidRDefault="00470E38">
                  <w:r>
                    <w:rPr>
                      <w:rtl/>
                    </w:rPr>
                    <w:t>101                                          ספר החוקים 280                   ט' בניסן התשי"ט 17.04.1959</w:t>
                  </w:r>
                </w:p>
              </w:txbxContent>
            </v:textbox>
            <w10:wrap anchorx="page" anchory="page"/>
          </v:shape>
        </w:pict>
      </w:r>
      <w:r>
        <w:pict>
          <v:shape id="_x0000_s24135" o:spid="_x0000_s1030" type="#_x0000_t202" style="position:absolute;left:0;text-align:left;margin-left:377.65pt;margin-top:666.85pt;width:177.8pt;height:78pt;z-index:6;mso-position-horizontal-relative:page;mso-position-vertical-relative:page" stroked="f">
            <v:textbox style="mso-next-textbox:#_x0000_s24135" inset="0,0,0,0">
              <w:txbxContent>
                <w:p w:rsidR="00470E38" w:rsidRDefault="00470E38">
                  <w:pPr>
                    <w:pStyle w:val="OCRStyle2"/>
                    <w:ind w:left="450"/>
                    <w:rPr>
                      <w:rtl/>
                    </w:rPr>
                  </w:pPr>
                  <w:r>
                    <w:rPr>
                      <w:rtl/>
                    </w:rPr>
                    <w:t>2 חוקי א''י, כרך ב', פרק קל"ג, עמ' 1374.</w:t>
                  </w:r>
                </w:p>
                <w:p w:rsidR="00470E38" w:rsidRDefault="00470E38">
                  <w:pPr>
                    <w:pStyle w:val="OCRStyle2"/>
                    <w:ind w:left="464"/>
                    <w:rPr>
                      <w:rtl/>
                    </w:rPr>
                  </w:pPr>
                  <w:r>
                    <w:rPr>
                      <w:rtl/>
                    </w:rPr>
                    <w:t>3 ע''ר 1936/ תוס' 1 מס' 566, עמ' .21</w:t>
                  </w:r>
                </w:p>
                <w:p w:rsidR="00470E38" w:rsidRDefault="00470E38">
                  <w:pPr>
                    <w:pStyle w:val="OCRStyle2"/>
                    <w:ind w:left="457"/>
                    <w:rPr>
                      <w:rtl/>
                    </w:rPr>
                  </w:pPr>
                  <w:r>
                    <w:rPr>
                      <w:rtl/>
                    </w:rPr>
                    <w:t>4 חוקי א''י, כרך א', פרק כ''ד, עמ' .336</w:t>
                  </w:r>
                </w:p>
                <w:p w:rsidR="00470E38" w:rsidRPr="003944AE" w:rsidRDefault="00470E38">
                  <w:pPr>
                    <w:pStyle w:val="OCRStyle2"/>
                    <w:ind w:left="450"/>
                  </w:pPr>
                  <w:r>
                    <w:rPr>
                      <w:rtl/>
                    </w:rPr>
                    <w:t>3 חוקי א''י, כרך א', פרק כ"ב, עמ' .155</w:t>
                  </w:r>
                </w:p>
              </w:txbxContent>
            </v:textbox>
            <w10:wrap anchorx="page" anchory="page"/>
          </v:shape>
        </w:pict>
      </w:r>
      <w:r>
        <w:pict>
          <v:shape id="_x0000_s24136" o:spid="_x0000_s1031" type="#_x0000_t202" style="position:absolute;left:0;text-align:left;margin-left:91.15pt;margin-top:65.9pt;width:462.55pt;height:595.8pt;z-index:5;mso-position-horizontal-relative:page;mso-position-vertical-relative:page" stroked="f">
            <v:textbox style="mso-next-textbox:#_x0000_s24136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51"/>
                    <w:gridCol w:w="5684"/>
                    <w:gridCol w:w="1374"/>
                  </w:tblGrid>
                  <w:tr w:rsidR="00470E38">
                    <w:trPr>
                      <w:jc w:val="right"/>
                    </w:trPr>
                    <w:tc>
                      <w:tcPr>
                        <w:tcW w:w="5000" w:type="pct"/>
                        <w:gridSpan w:val="3"/>
                      </w:tcPr>
                      <w:p w:rsidR="00470E38" w:rsidRDefault="00470E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2) בסעיף קטן (ב), במקום "מאה ועשר לירות" יבוא "המכסימום" ובמקום</w:t>
                        </w:r>
                      </w:p>
                      <w:p w:rsidR="00470E38" w:rsidRDefault="00470E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"שבעים לירות" יבוא "המינימום", ובסוף הסעיף הקטן יווסף פסוק זה:</w:t>
                        </w:r>
                      </w:p>
                      <w:p w:rsidR="00470E38" w:rsidRDefault="00470E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"אין סייג זה חל על תגמול שחושב לפי סעיף קטן (א) (2) או על תגמול</w:t>
                        </w:r>
                      </w:p>
                      <w:p w:rsidR="00470E38" w:rsidRDefault="00470E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הניתן למשרת במילואים שעלה לארץ תוך רבע השנה שקדם לשירותו</w:t>
                        </w:r>
                      </w:p>
                      <w:p w:rsidR="00470E38" w:rsidRDefault="00470E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במילואים".</w:t>
                        </w:r>
                      </w:p>
                      <w:p w:rsidR="00470E38" w:rsidRDefault="00470E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קטן (ג) יימחקו המלים "בשנת הכספים שקדמה לתקופת שירותו</w:t>
                        </w:r>
                      </w:p>
                      <w:p w:rsidR="00470E38" w:rsidRDefault="00470E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במילואים", וכמקום "מאתים לירות" יבוא "המכסימום".</w:t>
                        </w:r>
                      </w:p>
                      <w:p w:rsidR="00470E38" w:rsidRDefault="00470E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במקום סעיף קטן (ה) יבוא סעיף קטן זה:</w:t>
                        </w:r>
                      </w:p>
                      <w:p w:rsidR="00470E38" w:rsidRDefault="00470E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"(ה) רשאי שר העבודה, באישור ועדת העבודה של הכנסת, לקבוע</w:t>
                        </w:r>
                      </w:p>
                      <w:p w:rsidR="00470E38" w:rsidRDefault="00470E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בתקנות את סכומי המכסימום והמינימום לענין סעיף קטן (ב), וכן את</w:t>
                        </w:r>
                      </w:p>
                      <w:p w:rsidR="00470E38" w:rsidRDefault="00470E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סכום המכסימום לענין סעיף קטן (ג), בשים לב לתנודות בשכר העבודה."</w:t>
                        </w:r>
                      </w:p>
                    </w:tc>
                  </w:tr>
                  <w:tr w:rsidR="00470E38" w:rsidRPr="003944AE">
                    <w:trPr>
                      <w:jc w:val="right"/>
                    </w:trPr>
                    <w:tc>
                      <w:tcPr>
                        <w:tcW w:w="803" w:type="pct"/>
                      </w:tcPr>
                      <w:p w:rsidR="00470E38" w:rsidRPr="003944AE" w:rsidRDefault="00470E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7</w:t>
                        </w:r>
                      </w:p>
                    </w:tc>
                    <w:tc>
                      <w:tcPr>
                        <w:tcW w:w="4197" w:type="pct"/>
                        <w:gridSpan w:val="2"/>
                      </w:tcPr>
                      <w:p w:rsidR="00470E38" w:rsidRDefault="00470E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5, בסעיף 7 לחוק העיקרי, בסעיף קטן (א), בסופו, יווסף פסוק זה: "דין התגמול המגיע</w:t>
                        </w:r>
                      </w:p>
                      <w:p w:rsidR="00470E38" w:rsidRPr="003944AE" w:rsidRDefault="00470E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לעובד לפי סעיף קטן זה כדין שכר עבודה."</w:t>
                        </w:r>
                      </w:p>
                    </w:tc>
                  </w:tr>
                  <w:tr w:rsidR="00470E38" w:rsidRPr="003944AE">
                    <w:trPr>
                      <w:jc w:val="right"/>
                    </w:trPr>
                    <w:tc>
                      <w:tcPr>
                        <w:tcW w:w="803" w:type="pct"/>
                      </w:tcPr>
                      <w:p w:rsidR="00470E38" w:rsidRPr="003944AE" w:rsidRDefault="00470E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12</w:t>
                        </w:r>
                      </w:p>
                    </w:tc>
                    <w:tc>
                      <w:tcPr>
                        <w:tcW w:w="4197" w:type="pct"/>
                        <w:gridSpan w:val="2"/>
                      </w:tcPr>
                      <w:p w:rsidR="00470E38" w:rsidRDefault="00470E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בסעיף 12 לחוק העיקרי, בסעיף קטן (ו), יימחקו המלים "בשנת הכספים שקדמה</w:t>
                        </w:r>
                      </w:p>
                      <w:p w:rsidR="00470E38" w:rsidRPr="003944AE" w:rsidRDefault="00470E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למועד התשלום".</w:t>
                        </w:r>
                      </w:p>
                    </w:tc>
                  </w:tr>
                  <w:tr w:rsidR="00470E38" w:rsidRPr="003944AE">
                    <w:trPr>
                      <w:jc w:val="right"/>
                    </w:trPr>
                    <w:tc>
                      <w:tcPr>
                        <w:tcW w:w="803" w:type="pct"/>
                      </w:tcPr>
                      <w:p w:rsidR="00470E38" w:rsidRPr="003944AE" w:rsidRDefault="00470E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14א</w:t>
                        </w:r>
                      </w:p>
                    </w:tc>
                    <w:tc>
                      <w:tcPr>
                        <w:tcW w:w="4197" w:type="pct"/>
                        <w:gridSpan w:val="2"/>
                      </w:tcPr>
                      <w:p w:rsidR="00470E38" w:rsidRPr="003944AE" w:rsidRDefault="00470E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לאחר מעיף 14 יבוא סעיף זה:</w:t>
                        </w:r>
                      </w:p>
                    </w:tc>
                  </w:tr>
                  <w:tr w:rsidR="00470E38" w:rsidRPr="003944AE">
                    <w:trPr>
                      <w:jc w:val="right"/>
                    </w:trPr>
                    <w:tc>
                      <w:tcPr>
                        <w:tcW w:w="803" w:type="pct"/>
                      </w:tcPr>
                      <w:p w:rsidR="00470E38" w:rsidRDefault="00470E38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80" w:type="pct"/>
                      </w:tcPr>
                      <w:p w:rsidR="00470E38" w:rsidRDefault="00470E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14א. (א) המוסד לביטוח לאומי היה ויהיה מוסמך לגבות תשלומים</w:t>
                        </w:r>
                      </w:p>
                      <w:p w:rsidR="00470E38" w:rsidRDefault="00470E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לקרן ההשוואה, ואם קיבל תשלום מאדם שהיה חייב, בזמן התשלום,</w:t>
                        </w:r>
                      </w:p>
                      <w:p w:rsidR="00470E38" w:rsidRDefault="00470E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גם לקרן ההשוואה וגם למוסד לביטוח לאומי, יראו כל תשלום כזה כתש-</w:t>
                        </w:r>
                      </w:p>
                      <w:p w:rsidR="00470E38" w:rsidRDefault="00470E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לום לקרן ולמוסד והוא ייזקף לזכות כל אחד מהם באופן יחסי לסכום</w:t>
                        </w:r>
                      </w:p>
                      <w:p w:rsidR="00470E38" w:rsidRDefault="00470E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שהמשלם היה חייב לכל אחד מהם בזמן התשלום, זולת אם הורה המשלם</w:t>
                        </w:r>
                      </w:p>
                      <w:p w:rsidR="00470E38" w:rsidRDefault="00470E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בשעת התשלום הוראה אחרת.</w:t>
                        </w:r>
                      </w:p>
                      <w:p w:rsidR="00470E38" w:rsidRDefault="00470E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אם כתוצאה מן החלוקה האמורה בלבד, שלא על יסוד הוראת</w:t>
                        </w:r>
                      </w:p>
                      <w:p w:rsidR="00470E38" w:rsidRDefault="00470E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המשלם, נתגלע פיגור בתשלום דמי ביטוח לאומי כאמור בסעיף 50</w:t>
                        </w:r>
                      </w:p>
                      <w:p w:rsidR="00470E38" w:rsidRDefault="00470E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לחוק הביטוח לא יחול סעיף 30 האמור לגבי תביעה לגימלה שהוגשה</w:t>
                        </w:r>
                      </w:p>
                      <w:p w:rsidR="00470E38" w:rsidRDefault="00470E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למוסד לביטוח לאומי לפני יום ד' בניסן תש"כ (1 באפריל 1960)".</w:t>
                        </w:r>
                      </w:p>
                    </w:tc>
                    <w:tc>
                      <w:tcPr>
                        <w:tcW w:w="817" w:type="pct"/>
                      </w:tcPr>
                      <w:p w:rsidR="00470E38" w:rsidRDefault="00470E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"גביה על ידי</w:t>
                        </w:r>
                      </w:p>
                      <w:p w:rsidR="00470E38" w:rsidRDefault="00470E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המוסד לביטוח</w:t>
                        </w:r>
                      </w:p>
                      <w:p w:rsidR="00470E38" w:rsidRPr="003944AE" w:rsidRDefault="00470E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לאומי</w:t>
                        </w:r>
                      </w:p>
                    </w:tc>
                  </w:tr>
                  <w:tr w:rsidR="00470E38" w:rsidRPr="003944AE">
                    <w:trPr>
                      <w:jc w:val="right"/>
                    </w:trPr>
                    <w:tc>
                      <w:tcPr>
                        <w:tcW w:w="803" w:type="pct"/>
                      </w:tcPr>
                      <w:p w:rsidR="00470E38" w:rsidRPr="003944AE" w:rsidRDefault="00470E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15</w:t>
                        </w:r>
                      </w:p>
                    </w:tc>
                    <w:tc>
                      <w:tcPr>
                        <w:tcW w:w="4197" w:type="pct"/>
                        <w:gridSpan w:val="2"/>
                      </w:tcPr>
                      <w:p w:rsidR="00470E38" w:rsidRPr="003944AE" w:rsidRDefault="00470E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במקום סעיף 15 יבוא סעיף זה:</w:t>
                        </w:r>
                      </w:p>
                    </w:tc>
                  </w:tr>
                  <w:tr w:rsidR="00470E38" w:rsidRPr="003944AE">
                    <w:trPr>
                      <w:jc w:val="right"/>
                    </w:trPr>
                    <w:tc>
                      <w:tcPr>
                        <w:tcW w:w="803" w:type="pct"/>
                      </w:tcPr>
                      <w:p w:rsidR="00470E38" w:rsidRDefault="00470E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</w:t>
                        </w:r>
                      </w:p>
                    </w:tc>
                    <w:tc>
                      <w:tcPr>
                        <w:tcW w:w="3380" w:type="pct"/>
                      </w:tcPr>
                      <w:p w:rsidR="00470E38" w:rsidRDefault="00470E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(א) פקודת המטים (גביה)2 - להוציא סעיף 12 שבה - חלה על</w:t>
                        </w:r>
                      </w:p>
                      <w:p w:rsidR="00470E38" w:rsidRDefault="00470E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סכום שמעביד או עובד עצמאי חייב לשלם לקרן ההשוואה, לרבות</w:t>
                        </w:r>
                      </w:p>
                      <w:p w:rsidR="00470E38" w:rsidRDefault="00470E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תשלום נוסף לפי סעיף 14, כאילו היו מסים כמשמעותם כפקודה האמורה.</w:t>
                        </w:r>
                      </w:p>
                      <w:p w:rsidR="00470E38" w:rsidRDefault="00470E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העבודה רשאי למנות אדם שיהיו לו הסמכויות של קצין</w:t>
                        </w:r>
                      </w:p>
                      <w:p w:rsidR="00470E38" w:rsidRDefault="00470E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מחוז לענין הפקודה האמורה והוא ימלא, לצורך סעיף זה, את התפקידים</w:t>
                        </w:r>
                      </w:p>
                      <w:p w:rsidR="00470E38" w:rsidRDefault="00470E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המוטלים על קצין מחוז לפי הפקודה האמורה.</w:t>
                        </w:r>
                      </w:p>
                      <w:p w:rsidR="00470E38" w:rsidRDefault="00470E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לענין גביית חובות אשר לפי פקודת פשיטת רגל, 1936 3, פקודת</w:t>
                        </w:r>
                      </w:p>
                      <w:p w:rsidR="00470E38" w:rsidRDefault="00470E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האגודות השיתופיות 4, או פקודת החברות 5, סילוקם קודם לכל יתר החובות -</w:t>
                        </w:r>
                      </w:p>
                      <w:p w:rsidR="00470E38" w:rsidRDefault="00470E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הסכומים האמורים בסעיף זה כדין מס המגיע לאוצר המדינה."</w:t>
                        </w:r>
                      </w:p>
                    </w:tc>
                    <w:tc>
                      <w:tcPr>
                        <w:tcW w:w="817" w:type="pct"/>
                      </w:tcPr>
                      <w:p w:rsidR="00470E38" w:rsidRDefault="00470E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"הקלות בגביית</w:t>
                        </w:r>
                      </w:p>
                      <w:p w:rsidR="00470E38" w:rsidRPr="003944AE" w:rsidRDefault="00470E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תשלומים</w:t>
                        </w:r>
                      </w:p>
                    </w:tc>
                  </w:tr>
                </w:tbl>
                <w:p w:rsidR="00470E38" w:rsidRDefault="00470E38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470E38" w:rsidRDefault="00470E38">
      <w:pPr>
        <w:rPr>
          <w:rtl/>
        </w:rPr>
      </w:pPr>
      <w:r>
        <w:rPr>
          <w:rtl/>
        </w:rPr>
        <w:br w:type="page"/>
      </w:r>
    </w:p>
    <w:p w:rsidR="00470E38" w:rsidRDefault="00000000">
      <w:pPr>
        <w:rPr>
          <w:rtl/>
        </w:rPr>
      </w:pPr>
      <w:r>
        <w:pict>
          <v:shape id="_x0000_s24137" o:spid="_x0000_s1032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24137" inset="0,0,0,0">
              <w:txbxContent>
                <w:p w:rsidR="00470E38" w:rsidRDefault="00470E38">
                  <w:r>
                    <w:rPr>
                      <w:rtl/>
                    </w:rPr>
                    <w:t>102                                          ספר החוקים 280                   ט' בניסן התשי"ט 17.04.1959</w:t>
                  </w:r>
                </w:p>
              </w:txbxContent>
            </v:textbox>
            <w10:wrap anchorx="page" anchory="page"/>
          </v:shape>
        </w:pict>
      </w:r>
      <w:r>
        <w:pict>
          <v:shape id="_x0000_s24138" o:spid="_x0000_s1033" type="#_x0000_t202" style="position:absolute;left:0;text-align:left;margin-left:235.25pt;margin-top:401.35pt;width:240pt;height:28.1pt;z-index:12;mso-position-horizontal-relative:page;mso-position-vertical-relative:page" stroked="f">
            <v:textbox style="mso-next-textbox:#_x0000_s24138" inset="0,0,0,0">
              <w:txbxContent>
                <w:p w:rsidR="00470E38" w:rsidRPr="00470E38" w:rsidRDefault="00470E38">
                  <w:pPr>
                    <w:pStyle w:val="OCRStyle3"/>
                    <w:ind w:left="288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6 ע''ר 1947, תוס' 1 מס' 1568, עמ' 77; ס"ח 223, תשי"ז, עמ' 79.</w:t>
                  </w:r>
                </w:p>
              </w:txbxContent>
            </v:textbox>
            <w10:wrap anchorx="page" anchory="page"/>
          </v:shape>
        </w:pict>
      </w:r>
      <w:r>
        <w:pict>
          <v:shape id="_x0000_s24139" o:spid="_x0000_s1034" type="#_x0000_t202" style="position:absolute;left:0;text-align:left;margin-left:359.55pt;margin-top:354.25pt;width:96.45pt;height:37.6pt;z-index:11;mso-position-horizontal-relative:page;mso-position-vertical-relative:page" stroked="f">
            <v:textbox style="mso-next-textbox:#_x0000_s24139" inset="0,0,0,0">
              <w:txbxContent>
                <w:p w:rsidR="00470E38" w:rsidRDefault="00470E38">
                  <w:pPr>
                    <w:pStyle w:val="OCRStyle3"/>
                    <w:ind w:left="180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470E38" w:rsidRDefault="00470E38">
                  <w:pPr>
                    <w:pStyle w:val="OCRStyle3"/>
                    <w:ind w:left="34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4140" o:spid="_x0000_s1035" type="#_x0000_t202" style="position:absolute;left:0;text-align:left;margin-left:223.75pt;margin-top:324.35pt;width:116.6pt;height:42.95pt;z-index:10;mso-position-horizontal-relative:page;mso-position-vertical-relative:page" stroked="f">
            <v:textbox style="mso-next-textbox:#_x0000_s24140" inset="0,0,0,0">
              <w:txbxContent>
                <w:p w:rsidR="00470E38" w:rsidRDefault="00470E38">
                  <w:pPr>
                    <w:pStyle w:val="OCRStyle3"/>
                    <w:ind w:left="238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470E38" w:rsidRDefault="00470E38">
                  <w:pPr>
                    <w:pStyle w:val="OCRStyle3"/>
                    <w:ind w:left="49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4141" o:spid="_x0000_s1036" type="#_x0000_t202" style="position:absolute;left:0;text-align:left;margin-left:112.45pt;margin-top:324.35pt;width:81.6pt;height:40.4pt;z-index:9;mso-position-horizontal-relative:page;mso-position-vertical-relative:page" stroked="f">
            <v:textbox style="mso-next-textbox:#_x0000_s24141" inset="0,0,0,0">
              <w:txbxContent>
                <w:p w:rsidR="00470E38" w:rsidRDefault="00470E38">
                  <w:pPr>
                    <w:pStyle w:val="OCRStyle3"/>
                    <w:ind w:left="94"/>
                    <w:rPr>
                      <w:rtl/>
                    </w:rPr>
                  </w:pPr>
                  <w:r>
                    <w:rPr>
                      <w:rtl/>
                    </w:rPr>
                    <w:t>מרדכי נמיר</w:t>
                  </w:r>
                </w:p>
                <w:p w:rsidR="00470E38" w:rsidRDefault="00470E38">
                  <w:pPr>
                    <w:pStyle w:val="OCRStyle3"/>
                    <w:ind w:left="270"/>
                  </w:pPr>
                  <w:r>
                    <w:rPr>
                      <w:rtl/>
                    </w:rPr>
                    <w:t>שר העבודה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4142" o:spid="_x0000_s1037" type="#_x0000_t202" style="position:absolute;left:0;text-align:left;margin-left:86.35pt;margin-top:66.75pt;width:470.45pt;height:248.9pt;z-index:8;mso-position-horizontal-relative:page;mso-position-vertical-relative:page" stroked="f">
            <v:textbox style="mso-next-textbox:#_x0000_s24142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91"/>
                    <w:gridCol w:w="1264"/>
                  </w:tblGrid>
                  <w:tr w:rsidR="00470E38" w:rsidRPr="00470E38">
                    <w:trPr>
                      <w:jc w:val="right"/>
                    </w:trPr>
                    <w:tc>
                      <w:tcPr>
                        <w:tcW w:w="4261" w:type="pct"/>
                      </w:tcPr>
                      <w:p w:rsidR="00470E38" w:rsidRDefault="00470E3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במקום סעיף 24 לחוק העיקרי יבוא סעיף זה:</w:t>
                        </w:r>
                      </w:p>
                      <w:p w:rsidR="00470E38" w:rsidRDefault="00470E3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"חבורת עובדים 24. לעבין חוק זה רואים -</w:t>
                        </w:r>
                      </w:p>
                      <w:p w:rsidR="00470E38" w:rsidRDefault="00470E3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ואגודה שיתופית (1) בחבורת עובדים, בין שהיא גוף מואגד ובין שאינה</w:t>
                        </w:r>
                      </w:p>
                      <w:p w:rsidR="00470E38" w:rsidRDefault="00470E3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גוף מואגד' את כל אחד מבני החבורה כעובדו של האדם</w:t>
                        </w:r>
                      </w:p>
                      <w:p w:rsidR="00470E38" w:rsidRDefault="00470E3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שמסר לחבורה את העבודה' אם היו רואים כך אילו היה קיים</w:t>
                        </w:r>
                      </w:p>
                      <w:p w:rsidR="00470E38" w:rsidRDefault="00470E3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קשר ישיר ביבו ובין כל אחד מבני החבורה;</w:t>
                        </w:r>
                      </w:p>
                      <w:p w:rsidR="00470E38" w:rsidRDefault="00470E3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חבר אגודה שיתופית העובד במפעל האגודה או מטעמה-</w:t>
                        </w:r>
                      </w:p>
                      <w:p w:rsidR="00470E38" w:rsidRDefault="00470E3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כעובד במשכורת, ואת האגודה - כמעבידו; אולם אין רואים</w:t>
                        </w:r>
                      </w:p>
                      <w:p w:rsidR="00470E38" w:rsidRDefault="00470E3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קיבוץ כמשמעותו כסעיף 19א לפקודת מס הכנסה' 1947 6,</w:t>
                        </w:r>
                      </w:p>
                      <w:p w:rsidR="00470E38" w:rsidRDefault="00470E3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מושב שיתופי' כמעביד חבריו' ולא חבר של קיבוץ או</w:t>
                        </w:r>
                      </w:p>
                      <w:p w:rsidR="00470E38" w:rsidRPr="00470E38" w:rsidRDefault="00470E3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מושב שיתופי כעובדה"</w:t>
                        </w:r>
                      </w:p>
                    </w:tc>
                    <w:tc>
                      <w:tcPr>
                        <w:tcW w:w="739" w:type="pct"/>
                      </w:tcPr>
                      <w:p w:rsidR="00470E38" w:rsidRPr="00470E38" w:rsidRDefault="00470E3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24</w:t>
                        </w:r>
                      </w:p>
                    </w:tc>
                  </w:tr>
                  <w:tr w:rsidR="00470E38" w:rsidRPr="00470E38">
                    <w:trPr>
                      <w:jc w:val="right"/>
                    </w:trPr>
                    <w:tc>
                      <w:tcPr>
                        <w:tcW w:w="4261" w:type="pct"/>
                      </w:tcPr>
                      <w:p w:rsidR="00470E38" w:rsidRPr="00470E38" w:rsidRDefault="00470E3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בסעיף 27 לחוק העיקרי תימחק פסקה (2).</w:t>
                        </w:r>
                      </w:p>
                    </w:tc>
                    <w:tc>
                      <w:tcPr>
                        <w:tcW w:w="739" w:type="pct"/>
                      </w:tcPr>
                      <w:p w:rsidR="00470E38" w:rsidRPr="00470E38" w:rsidRDefault="00470E3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27</w:t>
                        </w:r>
                      </w:p>
                    </w:tc>
                  </w:tr>
                  <w:tr w:rsidR="00470E38" w:rsidRPr="00470E38">
                    <w:trPr>
                      <w:jc w:val="right"/>
                    </w:trPr>
                    <w:tc>
                      <w:tcPr>
                        <w:tcW w:w="4261" w:type="pct"/>
                      </w:tcPr>
                      <w:p w:rsidR="00470E38" w:rsidRPr="00470E38" w:rsidRDefault="00470E3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11, תהילתו של סעיף 3(ב) לחוק העיקרי היא מיום תחילת החוק העיקרי.</w:t>
                        </w:r>
                      </w:p>
                    </w:tc>
                    <w:tc>
                      <w:tcPr>
                        <w:tcW w:w="739" w:type="pct"/>
                      </w:tcPr>
                      <w:p w:rsidR="00470E38" w:rsidRPr="00470E38" w:rsidRDefault="00470E3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470E38" w:rsidRDefault="00470E38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8D3BC9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D3BC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2651C02-507C-4303-B7AE-7596A185A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8D3BC9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3944AE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470E38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19</Characters>
  <Application>Microsoft Office Word</Application>
  <DocSecurity>4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4</cp:revision>
  <dcterms:created xsi:type="dcterms:W3CDTF">2008-04-06T19:20:00Z</dcterms:created>
  <dcterms:modified xsi:type="dcterms:W3CDTF">2008-04-06T19:20:00Z</dcterms:modified>
</cp:coreProperties>
</file>