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40C4" w:rsidRDefault="00AB40C4">
      <w:pPr>
        <w:rPr>
          <w:rtl/>
        </w:rPr>
      </w:pPr>
    </w:p>
    <w:p w:rsidR="00AB40C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28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287" inset="0,0,0,0">
              <w:txbxContent>
                <w:p w:rsidR="004F0684" w:rsidRDefault="004F0684">
                  <w:r>
                    <w:rPr>
                      <w:rtl/>
                    </w:rPr>
                    <w:t>314                                          ספר החוקים 867                    כ"ח באב התשל"ז 12.08.1977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88" o:spid="_x0000_s1026" type="#_x0000_t202" style="position:absolute;left:0;text-align:left;margin-left:92.15pt;margin-top:648.9pt;width:389.25pt;height:84.35pt;z-index:3;mso-position-horizontal-relative:page;mso-position-vertical-relative:page" stroked="f">
            <v:textbox style="mso-next-textbox:#_x0000_s24288" inset="0,0,0,0">
              <w:txbxContent>
                <w:p w:rsidR="004F0684" w:rsidRDefault="004F0684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באב תשל"ז (3 באוגוסט 1977); הצעת החוק ודברי הסבר פורסמו בהצעות חוק</w:t>
                  </w:r>
                </w:p>
                <w:p w:rsidR="004F0684" w:rsidRDefault="004F0684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1279, תשל"ז, עמ' 102.</w:t>
                  </w:r>
                </w:p>
                <w:p w:rsidR="004F0684" w:rsidRDefault="004F0684">
                  <w:pPr>
                    <w:pStyle w:val="OCRStyle1"/>
                    <w:ind w:left="1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תשי"ד, עמ' 179; תשי"ז, עמ' 185; תשי"ח, עמ' 43; תש"ד, עמ' 60; תשכ"ה, עמ' 102; תשכ"ח, עמ' 86;</w:t>
                  </w:r>
                </w:p>
                <w:p w:rsidR="004F0684" w:rsidRDefault="004F0684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תשל"ב, עמ' 50; תשל"ג, עמ' 80; תשל"ה, עמ' 238; תשל"ן, עמ' .106</w:t>
                  </w:r>
                </w:p>
                <w:p w:rsidR="004F0684" w:rsidRPr="00AB40C4" w:rsidRDefault="004F0684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תשי"ט, עמי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89" o:spid="_x0000_s1027" type="#_x0000_t202" style="position:absolute;left:0;text-align:left;margin-left:92.95pt;margin-top:465.75pt;width:455.6pt;height:167.3pt;z-index:2;mso-position-horizontal-relative:page;mso-position-vertical-relative:page" stroked="f">
            <v:textbox style="mso-next-textbox:#_x0000_s2428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7"/>
                    <w:gridCol w:w="1242"/>
                    <w:gridCol w:w="1203"/>
                  </w:tblGrid>
                  <w:tr w:rsidR="004F0684" w:rsidRPr="00AB40C4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4F0684" w:rsidRDefault="004F068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5 לחוק שירות הקבע בצבא-הגנה לישראל (גימלאות), תשי"ד-1954ג</w:t>
                        </w:r>
                      </w:p>
                      <w:p w:rsidR="004F0684" w:rsidRPr="00AB40C4" w:rsidRDefault="004F0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במקום "18", פעמיים, יבוא "21".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4F0684" w:rsidRPr="00AB40C4" w:rsidRDefault="004F068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4F0684" w:rsidRPr="00AB40C4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4F0684" w:rsidRPr="00AB40C4" w:rsidRDefault="004F0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13 לחוק העיקרי יבוא:</w:t>
                        </w:r>
                      </w:p>
                    </w:tc>
                    <w:tc>
                      <w:tcPr>
                        <w:tcW w:w="726" w:type="pct"/>
                      </w:tcPr>
                      <w:p w:rsidR="004F0684" w:rsidRPr="00AB40C4" w:rsidRDefault="004F068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4F0684">
                    <w:trPr>
                      <w:jc w:val="right"/>
                    </w:trPr>
                    <w:tc>
                      <w:tcPr>
                        <w:tcW w:w="3524" w:type="pct"/>
                      </w:tcPr>
                      <w:p w:rsidR="004F0684" w:rsidRDefault="004F068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על אף האמור בחוק זה, תובא לצורך חוק זה תקופת שירות</w:t>
                        </w:r>
                      </w:p>
                      <w:p w:rsidR="004F0684" w:rsidRDefault="004F0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בחשבון תקופת השירות של חייל ששירת בשירות קבע לפחות</w:t>
                        </w:r>
                      </w:p>
                      <w:p w:rsidR="004F0684" w:rsidRDefault="004F0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 או שהוצא לקיצבה מכוח סעיף 16.</w:t>
                        </w:r>
                      </w:p>
                      <w:p w:rsidR="004F0684" w:rsidRDefault="004F0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"שירות חובה" - שירות צבאי שלא על פי התחיי-</w:t>
                        </w:r>
                      </w:p>
                      <w:p w:rsidR="004F0684" w:rsidRDefault="004F0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לשירות קבע, ולמעט שירות מילואים לפי הפרק הרביעי לחוק שירות</w:t>
                        </w:r>
                      </w:p>
                      <w:p w:rsidR="004F0684" w:rsidRPr="00AB40C4" w:rsidRDefault="004F0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בטחון, תשי"ט-1959 [נוסח משולב]2."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F0684" w:rsidRPr="00AB40C4" w:rsidRDefault="004F068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שירות חובה</w:t>
                        </w:r>
                      </w:p>
                    </w:tc>
                    <w:tc>
                      <w:tcPr>
                        <w:tcW w:w="726" w:type="pct"/>
                      </w:tcPr>
                      <w:p w:rsidR="004F0684" w:rsidRDefault="004F068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F0684" w:rsidRDefault="004F06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290" o:spid="_x0000_s1028" type="#_x0000_t202" style="position:absolute;left:0;text-align:left;margin-left:102.05pt;margin-top:422.6pt;width:375.2pt;height:39.8pt;z-index:1;mso-position-horizontal-relative:page;mso-position-vertical-relative:page" stroked="f">
            <v:textbox style="mso-next-textbox:#_x0000_s24290" inset="0,0,0,0">
              <w:txbxContent>
                <w:p w:rsidR="004F0684" w:rsidRDefault="004F0684">
                  <w:pPr>
                    <w:pStyle w:val="OCRStyle1"/>
                    <w:ind w:left="17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הקבע בצבא-הגנה לישראל (גימלאות) (תיקון מס' 10),</w:t>
                  </w:r>
                </w:p>
                <w:p w:rsidR="004F0684" w:rsidRPr="00AB40C4" w:rsidRDefault="004F0684">
                  <w:pPr>
                    <w:pStyle w:val="OCRStyle1"/>
                    <w:ind w:left="269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תשל"ז-1977 *</w:t>
                  </w:r>
                </w:p>
              </w:txbxContent>
            </v:textbox>
            <w10:wrap anchorx="page" anchory="page"/>
          </v:shape>
        </w:pict>
      </w:r>
    </w:p>
    <w:p w:rsidR="004F0D22" w:rsidRDefault="004F0D22">
      <w:pPr>
        <w:rPr>
          <w:rtl/>
        </w:rPr>
      </w:pPr>
      <w:r>
        <w:rPr>
          <w:rtl/>
        </w:rPr>
        <w:br w:type="page"/>
      </w:r>
    </w:p>
    <w:p w:rsidR="004F0D22" w:rsidRDefault="00000000">
      <w:pPr>
        <w:rPr>
          <w:rtl/>
        </w:rPr>
      </w:pPr>
      <w:r>
        <w:pict>
          <v:shape id="_x0000_s2429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291" inset="0,0,0,0">
              <w:txbxContent>
                <w:p w:rsidR="004F0684" w:rsidRDefault="004F0684">
                  <w:r>
                    <w:rPr>
                      <w:rtl/>
                    </w:rPr>
                    <w:t>315                                          ספר החוקים 867                    כ"ח באב התשל"ז 12.08.1977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92" o:spid="_x0000_s1030" type="#_x0000_t202" style="position:absolute;left:0;text-align:left;margin-left:371.65pt;margin-top:712.7pt;width:158.8pt;height:23.15pt;z-index:6;mso-position-horizontal-relative:page;mso-position-vertical-relative:page" stroked="f">
            <v:textbox style="mso-next-textbox:#_x0000_s24292" inset="0,0,0,0">
              <w:txbxContent>
                <w:p w:rsidR="004F0684" w:rsidRDefault="004F068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293" o:spid="_x0000_s1031" type="#_x0000_t202" style="position:absolute;left:0;text-align:left;margin-left:91.1pt;margin-top:63.05pt;width:451.65pt;height:632.2pt;z-index:5;mso-position-horizontal-relative:page;mso-position-vertical-relative:page" stroked="f">
            <v:textbox style="mso-next-textbox:#_x0000_s2429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7136"/>
                  </w:tblGrid>
                  <w:tr w:rsidR="004F0684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4F0684" w:rsidRPr="004F0D22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17 לחוק העיקרי, ברישה לסעיף קטן (ד), במקום "בתוקף פסקה (2) לסעיף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14" יבוא "בשל פיטוריו מחמת בכות, כמשמעותה בחוק הנכים, שלקה בה בשירות קבע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ודרגת נכותו היא 35% או יותר".</w:t>
                        </w:r>
                      </w:p>
                    </w:tc>
                  </w:tr>
                  <w:tr w:rsidR="004F0684" w:rsidRPr="004F0D22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4F0684" w:rsidRPr="004F0D22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23 לחוק העיקרי, במקום סעיף קטן (א) יבוא: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חייל שנפטר בזמן שירות קבע ושאיריו זכאים מחמת פטירתו לתגמולים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משפחות החיילים (בסעיף זה - תגמולים), יהיו שאיריו זכאים לקיצבה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להלן: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בן-זוג כל עוד לא נישא ויתומים כל עוד אינם עומדים ברשות עצמם,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זכאים לקיצבה לפי סעיף 22 אף אם החייל שירת בשירות קבע פחות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מחמש שנים;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עוד בן הזוג או היתומים זכאים לתגמולים, תנוכה מקיצבתם מחצית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או מחצית התגמולים, ואם זכותם לתגמולים הומרה לפי סעיף 30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משפחות החיילים - מחצית הקיצבה או מחצית התגמולים שהיו זכאים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אילולא הומרה זכותם כאמור, הכל לסי הסכום הקטן יותר;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היה סך כל הקיצבאות המגיעות לבן-הזוג וליתומים של חייל בצירוף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המגיעים להם עולה על המשכורת הקובעת של אותו חייל, ינוכה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העודף מקיצבתם;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פסקה (3), לא יבוא בחשבון התגמולים התוספת לפי סעיף 14(1)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משפחות החיילים, ובזכאי לתגמולים לפי. סעיף 9(ב) לאותו חוק -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שבין אותם תגמולים לבין התגמולים לפי סעיף 9(א) לאותו חוק;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תלויים, כל עוד אינם עומדים ברשות עצמם, יהיו זכאים לקיצבה של</w:t>
                        </w:r>
                      </w:p>
                      <w:p w:rsidR="004F0684" w:rsidRPr="004F0D22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 מהמשכורת הקובעת של אותו חייל, לכל תלוי."</w:t>
                        </w:r>
                      </w:p>
                    </w:tc>
                  </w:tr>
                  <w:tr w:rsidR="004F0684" w:rsidRPr="004F0D22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4F0684" w:rsidRPr="004F0D22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4F0684" w:rsidRPr="004F0D22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25 לחוק העיקרי, בסעיף קטן (ב), המספר "26" - יימחק.</w:t>
                        </w:r>
                      </w:p>
                    </w:tc>
                  </w:tr>
                  <w:tr w:rsidR="004F0684" w:rsidRPr="004F0D22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4F0684" w:rsidRPr="004F0D22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4F0684" w:rsidRPr="004F0D22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סעיף 26 לחוק העיקרי - בטל.</w:t>
                        </w:r>
                      </w:p>
                    </w:tc>
                  </w:tr>
                  <w:tr w:rsidR="004F0684" w:rsidRPr="004F0D22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4F0684" w:rsidRPr="004F0D22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27 לחוק העיקרי -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המספר "26(ב)" - יימחק;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(2) - תימחק;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(ג) ולפניו יבוא: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חל סעיף 23(א)(3), ישולמו לבן-הזוג וליתומים של החייל שנפטר,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הקיצבאות בשיעורים שנקבעו בסעיף 23, קיצבאות בשיעורים שיקבע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בהתחשב עם מצבם של בן הזוג והיתומים ועם כל הסכם שביניהם,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שסך כל הקיצבאות שישולם לכלל השאירים לא יעלה על השיעור,</w:t>
                        </w:r>
                      </w:p>
                      <w:p w:rsidR="004F0684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הקיצוני או על סך כל הקיצבאות שהיו מגיעות לשאיריו אילולא הוראות</w:t>
                        </w:r>
                      </w:p>
                      <w:p w:rsidR="004F0684" w:rsidRPr="004F0D22" w:rsidRDefault="004F06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הכל לפי הסכום הקטן יותר.";</w:t>
                        </w:r>
                      </w:p>
                    </w:tc>
                  </w:tr>
                </w:tbl>
                <w:p w:rsidR="004F0684" w:rsidRDefault="004F068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C4334" w:rsidRDefault="005C4334">
      <w:pPr>
        <w:rPr>
          <w:rtl/>
        </w:rPr>
      </w:pPr>
      <w:r>
        <w:rPr>
          <w:rtl/>
        </w:rPr>
        <w:br w:type="page"/>
      </w:r>
    </w:p>
    <w:p w:rsidR="005C4334" w:rsidRDefault="00000000">
      <w:pPr>
        <w:rPr>
          <w:rtl/>
        </w:rPr>
      </w:pPr>
      <w:r>
        <w:pict>
          <v:shape id="_x0000_s2429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4294" inset="0,0,0,0">
              <w:txbxContent>
                <w:p w:rsidR="004F0684" w:rsidRDefault="004F0684">
                  <w:r>
                    <w:rPr>
                      <w:rtl/>
                    </w:rPr>
                    <w:t>316                                          ספר החוקים 867                    כ"ח באב התשל"ז 12.08.1977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95" o:spid="_x0000_s1033" type="#_x0000_t202" style="position:absolute;left:0;text-align:left;margin-left:95.85pt;margin-top:712.3pt;width:167.5pt;height:28.1pt;z-index:9;mso-position-horizontal-relative:page;mso-position-vertical-relative:page" stroked="f">
            <v:textbox style="mso-next-textbox:#_x0000_s24295" inset="0,0,0,0">
              <w:txbxContent>
                <w:p w:rsidR="004F0684" w:rsidRDefault="004F068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296" o:spid="_x0000_s1034" type="#_x0000_t202" style="position:absolute;left:0;text-align:left;margin-left:101pt;margin-top:63.65pt;width:453pt;height:639.55pt;z-index:8;mso-position-horizontal-relative:page;mso-position-vertical-relative:page" stroked="f">
            <v:textbox style="mso-next-textbox:#_x0000_s2429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6"/>
                    <w:gridCol w:w="1181"/>
                  </w:tblGrid>
                  <w:tr w:rsidR="004F0684" w:rsidRPr="005C4334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 -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הסיפה המתחילה במלים "או ההפרש האמור בסעיף 26(ד)"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תימחק;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(2) יבוא: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לגבי שאיריו של זכאי לקיצבת פרישה - 75% מקיצבתו של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הזכאי, ולגבי בן זוג של זכאי כאמור שיותר מיתום אחד סמוך על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שולחנו וכל עוד שני יתומים כאמור לפחות זכאים לקיצבה - 90%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מקיצבתו של הזכאי ;".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.8. בסעיף 33(ב) לחוק העיקרי, במקום "לא תנוכה מקיצבתו מחצית התגמול כאמור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23(א)(1)" יבוא "לא ינוכה כל סכום לפי סעיף 23(א)(2)".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4F0684" w:rsidRPr="005C4334" w:rsidRDefault="004F06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4F0684" w:rsidRPr="005C4334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4F0684" w:rsidRPr="005C433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.בסעיף 33ב(ג) לחוק העיקרי, המספר "26(ה)" - יימחק.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4F0684" w:rsidRPr="005C4334" w:rsidRDefault="004F06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33ב</w:t>
                        </w:r>
                      </w:p>
                    </w:tc>
                  </w:tr>
                  <w:tr w:rsidR="004F0684" w:rsidRPr="005C4334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4F0684" w:rsidRPr="005C433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51 לחוק העיקרי, המספר "26" - יימחק.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4F0684" w:rsidRPr="005C4334" w:rsidRDefault="004F06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51</w:t>
                        </w:r>
                      </w:p>
                    </w:tc>
                  </w:tr>
                  <w:tr w:rsidR="004F0684" w:rsidRPr="005C4334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4F0684" w:rsidRDefault="004F06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תחילתם של סעיפים 1, 3 ו-7 לחוק זה ביום אי בניסן תשל"ו (1 באפריל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1976), והם יחולו אף אם העילה לתשלום הקיצבה נולדה לפני המועד האמור.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5, 6, 9 ו-10 לחוק זה ביום ה' באב תשל"ג (3 באוגוסט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1973).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2 יחול על מי שפרש מהשירות החל מיום אי בניסן תשל"ו (1 באפריל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1976).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קיצבאות המשתלמות לפי סעיף 23(א) לחוק העיקרי כנוסחו בחוק זה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אלה: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(2), תחילתה ביום ט' בניסן תשל"ד (1 באפריל 1974);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המקסימום לסך כל הקיצבאות והתגמולים המגיעים לשאירי הנפטר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בסעיף 23(א) האמור (להלן - מקסימום) לא יחול על תשלומים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התקופה שבין ט' בניסן תשל"ד (1 באפריל 1974) לבין כ"ט באדר ב'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תשל"ו (31 במרס 1976);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אלמנה ויתומים של חייל שהיו זכאים ביום כ"ט באדר בי תשל"ו (31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1976) לקיצבה ולתגמולים בסכום פלוני (להלן - הסכום הקובע),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יפחת סך כל הקיצבאות והתגמולים שהיו זכאים להם לאחר אותו מועד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מהסכום הקובע מחמת זה בלבד שנקבע להם מקסימום, וכל עוד סך כל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הקיצבאות והתגמולים עולה על המקסימום לא ישולם להם מכוח החוק העיקרי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סכום העולה על הסכום הקובע ;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תחילתן של יתר הוראות הסעיף האמור, במידה שאין בסעיף זה הוראה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מפורשת אחרת, היא ביום א' בניסן תשל"ו (1 באפריל 1976);</w:t>
                        </w:r>
                      </w:p>
                      <w:p w:rsidR="004F068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קטן זה יחול אף אם העילה לתשלום קיצבה נולדה לפני המוע-</w:t>
                        </w:r>
                      </w:p>
                      <w:p w:rsidR="004F0684" w:rsidRPr="005C4334" w:rsidRDefault="004F06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הנקובים בו.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4F0684" w:rsidRDefault="004F06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  <w:p w:rsidR="004F0684" w:rsidRPr="005C4334" w:rsidRDefault="004F06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4F0684" w:rsidRDefault="004F068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F0684" w:rsidRDefault="004F0684">
      <w:pPr>
        <w:rPr>
          <w:rtl/>
        </w:rPr>
      </w:pPr>
      <w:r>
        <w:rPr>
          <w:rtl/>
        </w:rPr>
        <w:br w:type="page"/>
      </w:r>
    </w:p>
    <w:p w:rsidR="004F0684" w:rsidRDefault="00000000">
      <w:pPr>
        <w:rPr>
          <w:rtl/>
        </w:rPr>
      </w:pPr>
      <w:r>
        <w:pict>
          <v:shape id="_x0000_s24297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4297" inset="0,0,0,0">
              <w:txbxContent>
                <w:p w:rsidR="004F0684" w:rsidRDefault="004F0684">
                  <w:r>
                    <w:rPr>
                      <w:rtl/>
                    </w:rPr>
                    <w:t>317                                          ספר החוקים 867                    כ"ח באב התשל"ז 12.08.1977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98" o:spid="_x0000_s1036" type="#_x0000_t202" style="position:absolute;left:0;text-align:left;margin-left:149.2pt;margin-top:207.9pt;width:102.75pt;height:45.55pt;z-index:14;mso-position-horizontal-relative:page;mso-position-vertical-relative:page" stroked="f">
            <v:textbox style="mso-next-textbox:#_x0000_s24298" inset="0,0,0,0">
              <w:txbxContent>
                <w:p w:rsidR="004F0684" w:rsidRDefault="004F0684">
                  <w:pPr>
                    <w:pStyle w:val="OCRStyle4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4F0684" w:rsidRDefault="004F0684">
                  <w:pPr>
                    <w:pStyle w:val="OCRStyle4"/>
                    <w:ind w:left="47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99" o:spid="_x0000_s1037" type="#_x0000_t202" style="position:absolute;left:0;text-align:left;margin-left:299.1pt;margin-top:208.7pt;width:91.3pt;height:42.15pt;z-index:13;mso-position-horizontal-relative:page;mso-position-vertical-relative:page" stroked="f">
            <v:textbox style="mso-next-textbox:#_x0000_s24299" inset="0,0,0,0">
              <w:txbxContent>
                <w:p w:rsidR="004F0684" w:rsidRDefault="004F0684">
                  <w:pPr>
                    <w:pStyle w:val="OCRStyle4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F0684" w:rsidRDefault="004F0684">
                  <w:pPr>
                    <w:pStyle w:val="OCRStyle4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00" o:spid="_x0000_s1038" type="#_x0000_t202" style="position:absolute;left:0;text-align:left;margin-left:421.85pt;margin-top:230.25pt;width:113.45pt;height:47.1pt;z-index:12;mso-position-horizontal-relative:page;mso-position-vertical-relative:page" stroked="f">
            <v:textbox style="mso-next-textbox:#_x0000_s24300" inset="0,0,0,0">
              <w:txbxContent>
                <w:p w:rsidR="004F0684" w:rsidRDefault="004F0684">
                  <w:pPr>
                    <w:pStyle w:val="OCRStyle4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F0684" w:rsidRDefault="004F0684">
                  <w:pPr>
                    <w:pStyle w:val="OCRStyle4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01" o:spid="_x0000_s1039" type="#_x0000_t202" style="position:absolute;left:0;text-align:left;margin-left:135.15pt;margin-top:73.65pt;width:408.45pt;height:128.3pt;z-index:11;mso-position-horizontal-relative:page;mso-position-vertical-relative:page" stroked="f">
            <v:textbox style="mso-next-textbox:#_x0000_s24301" inset="0,0,0,0">
              <w:txbxContent>
                <w:p w:rsidR="004F0684" w:rsidRDefault="004F0684">
                  <w:pPr>
                    <w:pStyle w:val="OCRStyle4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(ה) תחילתו של סעיף 8 ביום כ"א באדר תשל"ז (11 במרס 1977), ולגבי התקופה</w:t>
                  </w:r>
                </w:p>
                <w:p w:rsidR="004F0684" w:rsidRDefault="004F0684">
                  <w:pPr>
                    <w:pStyle w:val="OCRStyle4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שבין יום ט' בניסן תשל"ד (1 באפריל 1974) לבין יום כ' באדר תשל"ז (10 במרס 1977)</w:t>
                  </w:r>
                </w:p>
                <w:p w:rsidR="004F0684" w:rsidRDefault="004F0684">
                  <w:pPr>
                    <w:pStyle w:val="OCRStyle4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יראו את סעיף 33(ג) לחוק העיקרי כנוסחו באותה תקופה כאילו נאמר בו כך:</w:t>
                  </w:r>
                </w:p>
                <w:p w:rsidR="004F0684" w:rsidRDefault="004F0684">
                  <w:pPr>
                    <w:pStyle w:val="OCRStyle4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"(ג) לענין קביעת המענק המגיע לפי סעיף קטן (א) לאלמנה שסעיף 23</w:t>
                  </w:r>
                </w:p>
                <w:p w:rsidR="004F0684" w:rsidRDefault="004F0684">
                  <w:pPr>
                    <w:pStyle w:val="OCRStyle4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חל עליה; לא ינוכה כל סכום לפי סעיף 23(א)(2).'י</w:t>
                  </w:r>
                </w:p>
                <w:p w:rsidR="004F0684" w:rsidRDefault="004F0684">
                  <w:pPr>
                    <w:pStyle w:val="OCRStyle4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(ו) בכל מקום בחוק זה שמדובר בו בבן זוג, יראו, לגבי קיצבה המשתלמת בעד</w:t>
                  </w:r>
                </w:p>
                <w:p w:rsidR="004F0684" w:rsidRDefault="004F0684">
                  <w:pPr>
                    <w:pStyle w:val="OCRStyle4"/>
                    <w:ind w:left="274"/>
                  </w:pPr>
                  <w:r>
                    <w:rPr>
                      <w:rtl/>
                    </w:rPr>
                    <w:t>פרק זמן שלפני יום כ"א באדר תשל"ז (11 במרס 1977), כאילו מדובר באלמנה בלבה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B40C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C2E8C5-0343-4865-BF51-40EE7B2E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40C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F0D2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C433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F068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2008-04-06T23:24:00Z</dcterms:created>
  <dcterms:modified xsi:type="dcterms:W3CDTF">2008-04-06T23:24:00Z</dcterms:modified>
</cp:coreProperties>
</file>