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3710" w:rsidRDefault="00773710">
      <w:pPr>
        <w:rPr>
          <w:rtl/>
        </w:rPr>
      </w:pPr>
    </w:p>
    <w:p w:rsidR="0077371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34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343" inset="0,0,0,0">
              <w:txbxContent>
                <w:p w:rsidR="00773710" w:rsidRDefault="00773710">
                  <w:r>
                    <w:rPr>
                      <w:rtl/>
                    </w:rPr>
                    <w:t>102                                          ספר החוקים 450                 ז' באדר ב' התשכ"ה 11.03.1965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44" o:spid="_x0000_s1026" type="#_x0000_t202" style="position:absolute;left:0;text-align:left;margin-left:81.65pt;margin-top:667.25pt;width:401.95pt;height:77.2pt;z-index:6;mso-position-horizontal-relative:page;mso-position-vertical-relative:page" stroked="f">
            <v:textbox style="mso-next-textbox:#_x0000_s24344" inset="0,0,0,0">
              <w:txbxContent>
                <w:p w:rsidR="00773710" w:rsidRDefault="00773710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באדר א' תשכ"ח (2 במרס 1965); הצעת החוק ודברי הסבר פורסמו בה"ח 638, תשכ"ה,</w:t>
                  </w:r>
                </w:p>
                <w:p w:rsidR="00773710" w:rsidRDefault="00773710">
                  <w:pPr>
                    <w:pStyle w:val="OCRStyle1"/>
                    <w:ind w:left="6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126.</w:t>
                  </w:r>
                </w:p>
                <w:p w:rsidR="00773710" w:rsidRPr="00773710" w:rsidRDefault="00773710">
                  <w:pPr>
                    <w:pStyle w:val="OCRStyle1"/>
                    <w:ind w:left="5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תשי"ד, עמ' 179; תשי"ז, עמ' 185; תשי"ח, עמ' 43; תש"ך,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45" o:spid="_x0000_s1027" type="#_x0000_t202" style="position:absolute;left:0;text-align:left;margin-left:109.95pt;margin-top:589.25pt;width:90.9pt;height:33.45pt;z-index:5;mso-position-horizontal-relative:page;mso-position-vertical-relative:page" stroked="f">
            <v:textbox style="mso-next-textbox:#_x0000_s24345" inset="0,0,0,0">
              <w:txbxContent>
                <w:p w:rsidR="00773710" w:rsidRDefault="00773710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73710" w:rsidRDefault="00773710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46" o:spid="_x0000_s1028" type="#_x0000_t202" style="position:absolute;left:0;text-align:left;margin-left:229.95pt;margin-top:584.1pt;width:89.1pt;height:41.2pt;z-index:4;mso-position-horizontal-relative:page;mso-position-vertical-relative:page" stroked="f">
            <v:textbox style="mso-next-textbox:#_x0000_s24346" inset="0,0,0,0">
              <w:txbxContent>
                <w:p w:rsidR="00773710" w:rsidRDefault="00773710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73710" w:rsidRDefault="00773710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47" o:spid="_x0000_s1029" type="#_x0000_t202" style="position:absolute;left:0;text-align:left;margin-left:347.35pt;margin-top:619.35pt;width:131.1pt;height:32.45pt;z-index:3;mso-position-horizontal-relative:page;mso-position-vertical-relative:page" stroked="f">
            <v:textbox style="mso-next-textbox:#_x0000_s24347" inset="0,0,0,0">
              <w:txbxContent>
                <w:p w:rsidR="00773710" w:rsidRDefault="00773710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73710" w:rsidRDefault="00773710">
                  <w:pPr>
                    <w:pStyle w:val="OCRStyle1"/>
                    <w:ind w:left="7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48" o:spid="_x0000_s1030" type="#_x0000_t202" style="position:absolute;left:0;text-align:left;margin-left:90.15pt;margin-top:110.1pt;width:454.4pt;height:474pt;z-index:2;mso-position-horizontal-relative:page;mso-position-vertical-relative:page" stroked="f">
            <v:textbox style="mso-next-textbox:#_x0000_s2434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3"/>
                    <w:gridCol w:w="1353"/>
                    <w:gridCol w:w="1246"/>
                  </w:tblGrid>
                  <w:tr w:rsidR="00773710" w:rsidRPr="00773710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773710" w:rsidRDefault="0077371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31 לחוק שירות הקבע בצבא-הגנה לישראל (גימלאות), תשי"ד-1954 1,</w:t>
                        </w:r>
                      </w:p>
                      <w:p w:rsidR="00773710" w:rsidRP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54" w:type="pct"/>
                      </w:tcPr>
                      <w:p w:rsidR="00773710" w:rsidRPr="00773710" w:rsidRDefault="007737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31</w:t>
                        </w:r>
                      </w:p>
                    </w:tc>
                  </w:tr>
                  <w:tr w:rsidR="00773710">
                    <w:trPr>
                      <w:jc w:val="right"/>
                    </w:trPr>
                    <w:tc>
                      <w:tcPr>
                        <w:tcW w:w="3427" w:type="pct"/>
                      </w:tcPr>
                      <w:p w:rsidR="00773710" w:rsidRDefault="007737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כסעיף זה -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מקופת הציבור" - משכורת מאוצר המדינה או מקופה אחרת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על ידי הממשלה כקופה ציבורית לענין סעיף זה;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 רגילה" - קצבה שהיתה מגיעה אלמלא הוראות סעיף זה;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כוללת" - הכנסה מקופת הציבור בצירוף הקצבה הרגילה.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זכאי לקצבה המקבל גם הכנסה מקופת הציבור, יחולו עליו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זכאי לקצבת פרישה שהכנסתו מקופת הציבור פחותה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מהמשכורת הקובעת, והוא חייל שחזר לשירות קבע או עובד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צבא-הגנה לישראל - תשולם לו קצבה כהפרש שבין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זו לבין המשכורת הקובעת, ובלבד שלא תעלה על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הרגילה; עלתה ההכנסה על המשכורת הקובעת, לא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לו כל קצבה: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זכאי לקצבת פרישה שאינו נמנה עם המפורטים בפסקה (1)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והכנסתו הכוללת עולה על המשכורת הקובעת - תשולם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קצבה בשיעור שני שלישים מהקצבה הרגילה או בשיעור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הרגילה בניכוי שליש מהסכום שבו עודפת ההכנסה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הכוללת על המשכורת הקובעת, הכל לפי הסכום הגבוה יותר;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עלתה ההכנסה הכוללת על המשכורת הקובעת, לא תופחת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קצבתו מכוח סעיף זה;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זכאי לקצבת שאיר שהכנסתו מקופת הציבור פחותה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ממחצית המשכורת הקובעת -- תשולם לו קצבה כהפרש שבין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זו לבין מחצית המשכורת הקובעת, ובלבד שלא תעלה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הקצבה הרגילה; עלתה אותה הכנסה על המחצית האמורה,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תשולם לו כל קצבה;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אלמנה הזכאית לקצבת שאיר לפי סעיף 23, תשולם לה,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בפסקה (3), קצבה כשיעור הסכום שבו עודפת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הקובעת על הכנסתה של האלמנה מקופת הציבור,</w:t>
                        </w:r>
                      </w:p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יותר מהקצבה הרגילה, או בשיעור שני שלישים</w:t>
                        </w:r>
                      </w:p>
                      <w:p w:rsidR="00773710" w:rsidRP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מהקצבה הרגילה, הכל לפי הסכום הגבוה יותר."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 ומשכורת</w:t>
                        </w:r>
                      </w:p>
                      <w:p w:rsidR="00773710" w:rsidRPr="00773710" w:rsidRDefault="007737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מקופת הציבור</w:t>
                        </w:r>
                      </w:p>
                    </w:tc>
                    <w:tc>
                      <w:tcPr>
                        <w:tcW w:w="754" w:type="pct"/>
                      </w:tcPr>
                      <w:p w:rsidR="00773710" w:rsidRDefault="0077371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73710" w:rsidRDefault="0077371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349" o:spid="_x0000_s1031" type="#_x0000_t202" style="position:absolute;left:0;text-align:left;margin-left:91.15pt;margin-top:60.4pt;width:376.2pt;height:47.1pt;z-index:1;mso-position-horizontal-relative:page;mso-position-vertical-relative:page" stroked="f">
            <v:textbox style="mso-next-textbox:#_x0000_s24349" inset="0,0,0,0">
              <w:txbxContent>
                <w:p w:rsidR="00773710" w:rsidRDefault="00773710">
                  <w:pPr>
                    <w:pStyle w:val="OCRStyle1"/>
                    <w:ind w:left="31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הקבע בצבא-הגנה לישראל (גימלאות) (תיקון מסי 4)י</w:t>
                  </w:r>
                </w:p>
                <w:p w:rsidR="00773710" w:rsidRPr="00773710" w:rsidRDefault="00773710">
                  <w:pPr>
                    <w:pStyle w:val="OCRStyle1"/>
                    <w:ind w:left="271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7371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27763DC-1666-4AFB-8AAF-1CC7B17A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7371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2008-04-09T14:30:00Z</dcterms:created>
  <dcterms:modified xsi:type="dcterms:W3CDTF">2008-04-09T14:30:00Z</dcterms:modified>
</cp:coreProperties>
</file>