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78A2" w:rsidRDefault="00DE78A2">
      <w:pPr>
        <w:rPr>
          <w:rtl/>
        </w:rPr>
      </w:pPr>
    </w:p>
    <w:p w:rsidR="00DE78A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35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4350" inset="0,0,0,0">
              <w:txbxContent>
                <w:p w:rsidR="004A10BE" w:rsidRDefault="004A10BE">
                  <w:r>
                    <w:rPr>
                      <w:rtl/>
                    </w:rPr>
                    <w:t>60                                           ספר החוקים 313                      ז' באב התש"כ 31.07.1960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51" o:spid="_x0000_s1026" type="#_x0000_t202" style="position:absolute;left:0;text-align:left;margin-left:89.35pt;margin-top:731pt;width:179.8pt;height:19.2pt;z-index:4;mso-position-horizontal-relative:page;mso-position-vertical-relative:page" stroked="f">
            <v:textbox style="mso-next-textbox:#_x0000_s24351" inset="0,0,0,0">
              <w:txbxContent>
                <w:p w:rsidR="004A10BE" w:rsidRDefault="004A10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352" o:spid="_x0000_s1027" type="#_x0000_t202" style="position:absolute;left:0;text-align:left;margin-left:95.3pt;margin-top:686.85pt;width:380.15pt;height:35.05pt;z-index:3;mso-position-horizontal-relative:page;mso-position-vertical-relative:page" stroked="f">
            <v:textbox style="mso-next-textbox:#_x0000_s24352" inset="0,0,0,0">
              <w:txbxContent>
                <w:p w:rsidR="004A10BE" w:rsidRDefault="004A10BE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כ''ה בתמוז תש''ך (20 ביולי 1900); הצעת החוק ודברי הסבר נתפרסמו בה"ח 120'/ תש"ך, עמ' 110.</w:t>
                  </w:r>
                </w:p>
                <w:p w:rsidR="004A10BE" w:rsidRPr="00DE78A2" w:rsidRDefault="004A10BE">
                  <w:pPr>
                    <w:pStyle w:val="OCRStyle1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183/ תשי"ד/ עמי 179; ס"ח 235/ תשי"ז/ עמי 185; ס"ח 241, תשי"ח,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53" o:spid="_x0000_s1028" type="#_x0000_t202" style="position:absolute;left:0;text-align:left;margin-left:96.1pt;margin-top:524.65pt;width:457.8pt;height:160.4pt;z-index:2;mso-position-horizontal-relative:page;mso-position-vertical-relative:page" stroked="f">
            <v:textbox style="mso-next-textbox:#_x0000_s2435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124"/>
                  </w:tblGrid>
                  <w:tr w:rsidR="004A10BE" w:rsidRPr="00DE78A2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4A10BE" w:rsidRDefault="004A10B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10 לחוק שירות הקבע בצבא-הגנה לישראל (גימלאות)/ תשי"ד-1954  1(להלן -</w:t>
                        </w:r>
                      </w:p>
                      <w:p w:rsidR="004A10BE" w:rsidRDefault="004A1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העיקרי)' במקום ההגדרה של "המשכורת הקובעת" תבוא הגדרה זו:</w:t>
                        </w:r>
                      </w:p>
                      <w:p w:rsidR="004A10BE" w:rsidRDefault="004A1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""המשכורת הקובעת" לגבי אדם פלוני בזמן פלוני - המשכורת, לרבות התוספות הקבועות,</w:t>
                        </w:r>
                      </w:p>
                      <w:p w:rsidR="004A10BE" w:rsidRDefault="004A1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המגיעה' ביום הקובע הסמוך לפגי אותו זמן, לחייל שדרגתו כדרגה שהיתה לפלוני</w:t>
                        </w:r>
                      </w:p>
                      <w:p w:rsidR="004A10BE" w:rsidRDefault="004A1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פרישתו מהשירות; אולם אם היה לאדם, ערב פרישתו מהשירות, מינוי לתפקיד</w:t>
                        </w:r>
                      </w:p>
                      <w:p w:rsidR="004A10BE" w:rsidRDefault="004A1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שצמודה לו דרגה העולה על דרגתה תיחשב משכורתו הקובעת על פי הדרגה הצמודה י</w:t>
                        </w:r>
                      </w:p>
                      <w:p w:rsidR="004A10BE" w:rsidRPr="00DE78A2" w:rsidRDefault="004A1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תפקיד ולא על פי דרגתו של האדם."</w:t>
                        </w:r>
                      </w:p>
                    </w:tc>
                    <w:tc>
                      <w:tcPr>
                        <w:tcW w:w="675" w:type="pct"/>
                      </w:tcPr>
                      <w:p w:rsidR="004A10BE" w:rsidRPr="00DE78A2" w:rsidRDefault="004A1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. תיקון סעיף 10</w:t>
                        </w:r>
                      </w:p>
                    </w:tc>
                  </w:tr>
                  <w:tr w:rsidR="004A10BE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4A10BE" w:rsidRDefault="004A10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4A10BE" w:rsidRDefault="004A10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A10BE" w:rsidRPr="00DE78A2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4A10BE" w:rsidRDefault="004A1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 לחוק העיקרי, בפסקה (4)/ אחרי "לפי הוראות הרמטכ"ל" יבוא "או מי</w:t>
                        </w:r>
                      </w:p>
                      <w:p w:rsidR="004A10BE" w:rsidRPr="00DE78A2" w:rsidRDefault="004A10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על ידיו לכך".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4A10BE" w:rsidRPr="00DE78A2" w:rsidRDefault="004A10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4A10BE" w:rsidRDefault="004A10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354" o:spid="_x0000_s1029" type="#_x0000_t202" style="position:absolute;left:0;text-align:left;margin-left:107pt;margin-top:478.75pt;width:354.2pt;height:40.2pt;z-index:1;mso-position-horizontal-relative:page;mso-position-vertical-relative:page" stroked="f">
            <v:textbox style="mso-next-textbox:#_x0000_s24354" inset="0,0,0,0">
              <w:txbxContent>
                <w:p w:rsidR="004A10BE" w:rsidRDefault="004A10BE">
                  <w:pPr>
                    <w:pStyle w:val="OCRStyle1"/>
                    <w:ind w:left="9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הקבע בצבא-הגנה לישראל (גימלאות) (תיקון מס' 3),</w:t>
                  </w:r>
                </w:p>
                <w:p w:rsidR="004A10BE" w:rsidRPr="00DE78A2" w:rsidRDefault="004A10BE">
                  <w:pPr>
                    <w:pStyle w:val="OCRStyle1"/>
                    <w:ind w:left="252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תש"ך-1960 *</w:t>
                  </w:r>
                </w:p>
              </w:txbxContent>
            </v:textbox>
            <w10:wrap anchorx="page" anchory="page"/>
          </v:shape>
        </w:pict>
      </w:r>
    </w:p>
    <w:p w:rsidR="00C92F63" w:rsidRDefault="00C92F63">
      <w:pPr>
        <w:rPr>
          <w:rtl/>
        </w:rPr>
      </w:pPr>
      <w:r>
        <w:rPr>
          <w:rtl/>
        </w:rPr>
        <w:br w:type="page"/>
      </w:r>
    </w:p>
    <w:p w:rsidR="00C92F63" w:rsidRDefault="00000000">
      <w:pPr>
        <w:rPr>
          <w:rtl/>
        </w:rPr>
      </w:pPr>
      <w:r>
        <w:pict>
          <v:shape id="_x0000_s24355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355" inset="0,0,0,0">
              <w:txbxContent>
                <w:p w:rsidR="004A10BE" w:rsidRDefault="004A10BE">
                  <w:r>
                    <w:rPr>
                      <w:rtl/>
                    </w:rPr>
                    <w:t>61                                           ספר החוקים 313                      ז' באב התש"כ 31.07.1960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56" o:spid="_x0000_s1031" type="#_x0000_t202" style="position:absolute;left:0;text-align:left;margin-left:390.7pt;margin-top:727.8pt;width:163.15pt;height:19pt;z-index:7;mso-position-horizontal-relative:page;mso-position-vertical-relative:page" stroked="f">
            <v:textbox style="mso-next-textbox:#_x0000_s24356" inset="0,0,0,0">
              <w:txbxContent>
                <w:p w:rsidR="004A10BE" w:rsidRDefault="004A10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357" o:spid="_x0000_s1032" type="#_x0000_t202" style="position:absolute;left:0;text-align:left;margin-left:99.45pt;margin-top:85.45pt;width:451.05pt;height:634.8pt;z-index:6;mso-position-horizontal-relative:page;mso-position-vertical-relative:page" stroked="f">
            <v:textbox style="mso-next-textbox:#_x0000_s2435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1"/>
                    <w:gridCol w:w="5664"/>
                    <w:gridCol w:w="1296"/>
                  </w:tblGrid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13 לחוק העיקרי' בסעיף קטן (א)' אחרי "אם שירת בשירות קבע לפחות עשר</w:t>
                        </w:r>
                      </w:p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 יבוא "או אם הוצא לקיצבה מכוח סעיף 16".</w:t>
                        </w:r>
                      </w:p>
                    </w:tc>
                  </w:tr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14 לחוק העיקרי' בפסקה (4) ,במקום "מי שפוטר משירות קבע לאחר שלקה בו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בנכות כמשמעותה בחוק הנכים" יבוא "מי שפוטר משירות קבע מחמת נכות' כמשמעותה</w:t>
                        </w:r>
                      </w:p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הנכים' שלקה בה באותו שירות".</w:t>
                        </w:r>
                      </w:p>
                    </w:tc>
                  </w:tr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16 לחוק העיקרי יימחקו סעיף קטן (ב) והסימן "(א)" לסעיף קטן (א).</w:t>
                        </w:r>
                      </w:p>
                    </w:tc>
                  </w:tr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בסיפה לסעיף 20 לחוק העיקרי' במקום "לקיצבה" יבוא "לגימלה".</w:t>
                        </w:r>
                      </w:p>
                    </w:tc>
                  </w:tr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23 לחוק העיקרי' אחרי סעיף קטן (א) יבוא סעיף קטן זה: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נישאה אלמנתו של חייל הזכאית לקיצבה לפי סעיף זה,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ינוכה מקיצבת כל יתום של אותו חייל' כל עוד אינו עומד ברשות עצמו'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 קיצבתו או מחצית התגמולים, הכל לפי הסכום הקטן יותר' על אף</w:t>
                        </w:r>
                      </w:p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(א)."</w:t>
                        </w:r>
                      </w:p>
                    </w:tc>
                  </w:tr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31 לחוק העיקרי' אחרי פסקה (2) תבוא פסקה זו: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אלמנה הזכאית לקיצבת שאיר לפי סעיף 23 - תשולם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- על אף האמור בפסקה (2)' קיצבה בסכום הגדול שבשני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נא) הסכום שבו עודפת המשכורת הקובעת' שלפיה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 לחשב את הקיצבה, על הכנסתה של האלמנה מקופת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אך לא יותר מהקיצבה שהיתה מגיעה לאלמנה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הוראות סעיף זה;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נב) שני שלישים מהקיצבה שהיתה מגיעה לאלמנה</w:t>
                        </w:r>
                      </w:p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הוראות סעיף זה."</w:t>
                        </w:r>
                      </w:p>
                    </w:tc>
                  </w:tr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52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בסעיף 52 לחוק העיקרי' בסעיף קטן (א) יימחקו המלים "תוך זמן שנקבע בתקנות"</w:t>
                        </w:r>
                      </w:p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והמלים "בהתחשב עם כל תשלום או זכות שרכש לרגל פרישתו מאותו מוסד".</w:t>
                        </w:r>
                      </w:p>
                    </w:tc>
                  </w:tr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54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54 לחוק העיקרי יבוא סעיף זה:</w:t>
                        </w:r>
                      </w:p>
                    </w:tc>
                  </w:tr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3" w:type="pct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54. לענין הסעיפים 35' 36' 37' ו-38 יהיה דין החלטה לפי חוק זה' של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 או של מי שהוסמך על ידיו' כדין החלטת הממונה וכל האמור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אלה לגבי הממונה ייקרא לענין זה כאילו מדובר ברמטכ"ל או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 שהוסמך על ידיו."</w:t>
                        </w:r>
                      </w:p>
                    </w:tc>
                    <w:tc>
                      <w:tcPr>
                        <w:tcW w:w="790" w:type="pct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החלטת</w:t>
                        </w:r>
                      </w:p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הרמטכ"ל</w:t>
                        </w:r>
                      </w:p>
                    </w:tc>
                  </w:tr>
                  <w:tr w:rsidR="004A10BE" w:rsidRPr="00C92F63">
                    <w:trPr>
                      <w:jc w:val="right"/>
                    </w:trPr>
                    <w:tc>
                      <w:tcPr>
                        <w:tcW w:w="757" w:type="pct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תוקף</w:t>
                        </w:r>
                      </w:p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  <w:tc>
                      <w:tcPr>
                        <w:tcW w:w="4243" w:type="pct"/>
                        <w:gridSpan w:val="2"/>
                      </w:tcPr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תחילתם של התיקונים שבסעיפים 1 ו-6 לחוק זה היא מיום תחילתו של החוק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העיקרי.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התיקון שבסעיף 4 לחוק זה היא מיום י"ב באב תשי"ז (9 באוגוסט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1957); אלא שלגבי התקופה שמיום תחילתו של החוק העיקרי עד י"א באב תשי"ז (8 באוגוסט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1957) יראו את פסקה (3) לסעיף 14' כנוסחו באותה תקופה' כאילו נאמר בה כך: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שפוטר מהשירות מחמת נכות' כמשמעותה בחוק</w:t>
                        </w:r>
                      </w:p>
                      <w:p w:rsidR="004A10BE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הנכים' שלקה בה באותו שירות אם דרגת נכותו זו היא חמישים</w:t>
                        </w:r>
                      </w:p>
                      <w:p w:rsidR="004A10BE" w:rsidRPr="00C92F63" w:rsidRDefault="004A10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או יותר."</w:t>
                        </w:r>
                      </w:p>
                    </w:tc>
                  </w:tr>
                </w:tbl>
                <w:p w:rsidR="004A10BE" w:rsidRDefault="004A10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A10BE" w:rsidRDefault="004A10BE">
      <w:pPr>
        <w:rPr>
          <w:rtl/>
        </w:rPr>
      </w:pPr>
      <w:r>
        <w:rPr>
          <w:rtl/>
        </w:rPr>
        <w:br w:type="page"/>
      </w:r>
    </w:p>
    <w:p w:rsidR="004A10BE" w:rsidRDefault="00000000">
      <w:pPr>
        <w:rPr>
          <w:rtl/>
        </w:rPr>
      </w:pPr>
      <w:r>
        <w:pict>
          <v:shape id="_x0000_s24358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358" inset="0,0,0,0">
              <w:txbxContent>
                <w:p w:rsidR="004A10BE" w:rsidRDefault="004A10BE">
                  <w:r>
                    <w:rPr>
                      <w:rtl/>
                    </w:rPr>
                    <w:t>62                                           ספר החוקים 313                      ז' באב התש"כ 31.07.1960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59" o:spid="_x0000_s1034" type="#_x0000_t202" style="position:absolute;left:0;text-align:left;margin-left:104.25pt;margin-top:181.35pt;width:106.9pt;height:26.75pt;z-index:12;mso-position-horizontal-relative:page;mso-position-vertical-relative:page" stroked="f">
            <v:textbox style="mso-next-textbox:#_x0000_s24359" inset="0,0,0,0">
              <w:txbxContent>
                <w:p w:rsidR="004A10BE" w:rsidRDefault="004A10BE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A10BE" w:rsidRDefault="004A10BE">
                  <w:pPr>
                    <w:pStyle w:val="OCRStyle3"/>
                    <w:ind w:left="58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60" o:spid="_x0000_s1035" type="#_x0000_t202" style="position:absolute;left:0;text-align:left;margin-left:227.2pt;margin-top:181.35pt;width:111.1pt;height:31.7pt;z-index:11;mso-position-horizontal-relative:page;mso-position-vertical-relative:page" stroked="f">
            <v:textbox style="mso-next-textbox:#_x0000_s24360" inset="0,0,0,0">
              <w:txbxContent>
                <w:p w:rsidR="004A10BE" w:rsidRDefault="004A10BE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A10BE" w:rsidRDefault="004A10BE">
                  <w:pPr>
                    <w:pStyle w:val="OCRStyle3"/>
                    <w:ind w:left="6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61" o:spid="_x0000_s1036" type="#_x0000_t202" style="position:absolute;left:0;text-align:left;margin-left:380.85pt;margin-top:204.7pt;width:107.7pt;height:37.6pt;z-index:10;mso-position-horizontal-relative:page;mso-position-vertical-relative:page" stroked="f">
            <v:textbox style="mso-next-textbox:#_x0000_s24361" inset="0,0,0,0">
              <w:txbxContent>
                <w:p w:rsidR="004A10BE" w:rsidRDefault="004A10BE">
                  <w:pPr>
                    <w:pStyle w:val="OCRStyle3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יצחק ב ן-צבי</w:t>
                  </w:r>
                </w:p>
                <w:p w:rsidR="004A10BE" w:rsidRDefault="004A10BE">
                  <w:pPr>
                    <w:pStyle w:val="OCRStyle3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362" o:spid="_x0000_s1037" type="#_x0000_t202" style="position:absolute;left:0;text-align:left;margin-left:89.2pt;margin-top:78.6pt;width:468.65pt;height:102.75pt;z-index:9;mso-position-horizontal-relative:page;mso-position-vertical-relative:page" stroked="f">
            <v:textbox style="mso-next-textbox:#_x0000_s2436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3"/>
                    <w:gridCol w:w="1518"/>
                  </w:tblGrid>
                  <w:tr w:rsidR="004A10BE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4A10BE" w:rsidRDefault="004A10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4 וכן בסעיף קטן (ב) לסעיף זה איבו פוגע בזכויות שהוקנו לאדם</w:t>
                        </w:r>
                      </w:p>
                      <w:p w:rsidR="004A10BE" w:rsidRDefault="004A10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החלטת הממונה לפני פרסום חוק זה ברשומות.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4A10BE" w:rsidRDefault="004A10B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A10BE" w:rsidRPr="004A10BE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4A10BE" w:rsidRDefault="004A10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תקנות שהותקנו לפני פרסום חוק זה ברשומות מכוח סעיף 52 לחוק העיקרי ושהיו</w:t>
                        </w:r>
                      </w:p>
                      <w:p w:rsidR="004A10BE" w:rsidRDefault="004A10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מותקנות כדין אילו היה סעיף 9 לחוק זה בתקפו אותה שעה, יראו אותן כאילו הותקנו</w:t>
                        </w:r>
                      </w:p>
                      <w:p w:rsidR="004A10BE" w:rsidRDefault="004A10B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ביום התקנתן.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4A10BE" w:rsidRPr="004A10BE" w:rsidRDefault="004A10B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תוקף לתקנות</w:t>
                        </w:r>
                      </w:p>
                    </w:tc>
                  </w:tr>
                </w:tbl>
                <w:p w:rsidR="004A10BE" w:rsidRDefault="004A10B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78A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240B8B-157A-4C79-9C67-E51659DAD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78A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92F6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A10B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2008-04-06T19:30:00Z</dcterms:created>
  <dcterms:modified xsi:type="dcterms:W3CDTF">2008-04-06T19:30:00Z</dcterms:modified>
</cp:coreProperties>
</file>