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E13CCE" w:rsidRDefault="00E13CCE">
      <w:pPr>
        <w:rPr>
          <w:rtl/>
        </w:rPr>
      </w:pPr>
    </w:p>
    <w:p w:rsidR="00E13CCE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24496" o:spid="_x0000_s1025" type="#_x0000_t202" style="position:absolute;left:0;text-align:left;margin-left:50pt;margin-top:771.95pt;width:495.35pt;height:30pt;z-index:7;mso-position-horizontal-relative:page;mso-position-vertical-relative:page" stroked="f">
            <v:textbox style="mso-next-textbox:#_x0000_s24496" inset="0,0,0,0">
              <w:txbxContent>
                <w:p w:rsidR="00E13CCE" w:rsidRDefault="00E13CCE">
                  <w:r>
                    <w:rPr>
                      <w:rtl/>
                    </w:rPr>
                    <w:t>82                                           ספר החוקים 844                   כ"ט בשבט התשל"ז 17.02.1977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7" o:spid="_x0000_s1026" type="#_x0000_t202" style="position:absolute;left:0;text-align:left;margin-left:95.6pt;margin-top:462.6pt;width:413.25pt;height:87.9pt;z-index:6;mso-position-horizontal-relative:page;mso-position-vertical-relative:page" stroked="f">
            <v:textbox style="mso-next-textbox:#_x0000_s24497" inset="0,0,0,0">
              <w:txbxContent>
                <w:p w:rsidR="00E13CCE" w:rsidRDefault="00E13CCE">
                  <w:pPr>
                    <w:pStyle w:val="OCRStyle1"/>
                    <w:ind w:left="756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כ' בשבט תשל"ז (8 בפברואר 1977);הצעת החוק ודברי הסבר פורסמו בה"ח 1275, תשל"ז,עמ' 84.</w:t>
                  </w:r>
                </w:p>
                <w:p w:rsidR="00E13CCE" w:rsidRPr="00E13CCE" w:rsidRDefault="00E13CCE">
                  <w:pPr>
                    <w:pStyle w:val="OCRStyle1"/>
                    <w:ind w:left="763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תש"ל, עמ' 65; תשל''ג, עמ' 255; תשל"ד, עמ' 273.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8" o:spid="_x0000_s1027" type="#_x0000_t202" style="position:absolute;left:0;text-align:left;margin-left:111.05pt;margin-top:393.7pt;width:109.3pt;height:38.6pt;z-index:5;mso-position-horizontal-relative:page;mso-position-vertical-relative:page" stroked="f">
            <v:textbox style="mso-next-textbox:#_x0000_s24498" inset="0,0,0,0">
              <w:txbxContent>
                <w:p w:rsidR="00E13CCE" w:rsidRDefault="00E13CCE">
                  <w:pPr>
                    <w:pStyle w:val="OCRStyle1"/>
                    <w:ind w:left="32"/>
                    <w:rPr>
                      <w:rtl/>
                    </w:rPr>
                  </w:pPr>
                  <w:r>
                    <w:rPr>
                      <w:rtl/>
                    </w:rPr>
                    <w:t>יהושע רבינוביץ</w:t>
                  </w:r>
                </w:p>
                <w:p w:rsidR="00E13CCE" w:rsidRDefault="00E13CCE">
                  <w:pPr>
                    <w:pStyle w:val="OCRStyle1"/>
                    <w:ind w:left="526"/>
                  </w:pPr>
                  <w:r>
                    <w:rPr>
                      <w:rtl/>
                    </w:rPr>
                    <w:t>שר האוצר</w:t>
                  </w:r>
                </w:p>
              </w:txbxContent>
            </v:textbox>
            <w10:wrap anchorx="page" anchory="page"/>
          </v:shape>
        </w:pict>
      </w:r>
      <w:r>
        <w:pict>
          <v:shape id="_x0000_s24499" o:spid="_x0000_s1028" type="#_x0000_t202" style="position:absolute;left:0;text-align:left;margin-left:251.65pt;margin-top:396.05pt;width:80.6pt;height:30.5pt;z-index:4;mso-position-horizontal-relative:page;mso-position-vertical-relative:page" stroked="f">
            <v:textbox style="mso-next-textbox:#_x0000_s24499" inset="0,0,0,0">
              <w:txbxContent>
                <w:p w:rsidR="00E13CCE" w:rsidRDefault="00E13CCE">
                  <w:pPr>
                    <w:pStyle w:val="OCRStyle1"/>
                    <w:ind w:left="202"/>
                    <w:rPr>
                      <w:rtl/>
                    </w:rPr>
                  </w:pPr>
                  <w:r>
                    <w:rPr>
                      <w:rtl/>
                    </w:rPr>
                    <w:t>יצחק רבין</w:t>
                  </w:r>
                </w:p>
                <w:p w:rsidR="00E13CCE" w:rsidRDefault="00E13CCE">
                  <w:pPr>
                    <w:pStyle w:val="OCRStyle1"/>
                    <w:ind w:left="223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0" o:spid="_x0000_s1029" type="#_x0000_t202" style="position:absolute;left:0;text-align:left;margin-left:393pt;margin-top:421.6pt;width:92.65pt;height:37.8pt;z-index:3;mso-position-horizontal-relative:page;mso-position-vertical-relative:page" stroked="f">
            <v:textbox style="mso-next-textbox:#_x0000_s24500" inset="0,0,0,0">
              <w:txbxContent>
                <w:p w:rsidR="00E13CCE" w:rsidRDefault="00E13CCE">
                  <w:pPr>
                    <w:pStyle w:val="OCRStyle1"/>
                    <w:ind w:left="119"/>
                    <w:rPr>
                      <w:rtl/>
                    </w:rPr>
                  </w:pPr>
                  <w:r>
                    <w:rPr>
                      <w:rtl/>
                    </w:rPr>
                    <w:t>אפרים קציר</w:t>
                  </w:r>
                </w:p>
                <w:p w:rsidR="00E13CCE" w:rsidRDefault="00E13CCE">
                  <w:pPr>
                    <w:pStyle w:val="OCRStyle1"/>
                    <w:ind w:left="263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24501" o:spid="_x0000_s1030" type="#_x0000_t202" style="position:absolute;left:0;text-align:left;margin-left:101.35pt;margin-top:112.75pt;width:451.05pt;height:269.5pt;z-index:2;mso-position-horizontal-relative:page;mso-position-vertical-relative:page" stroked="f">
            <v:textbox style="mso-next-textbox:#_x0000_s24501" inset="0,0,0,0">
              <w:txbxContent>
                <w:tbl>
                  <w:tblPr>
                    <w:tblW w:w="4433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7009"/>
                    <w:gridCol w:w="1194"/>
                  </w:tblGrid>
                  <w:tr w:rsidR="00E13CCE" w:rsidRPr="00E13CC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E13CCE" w:rsidRDefault="00E13CCE">
                        <w:pPr>
                          <w:pStyle w:val="OCRStyle1"/>
                          <w:rPr>
                            <w:sz w:val="26"/>
                            <w:szCs w:val="26"/>
                            <w:rtl/>
                          </w:rPr>
                        </w:pPr>
                        <w:r>
                          <w:rPr>
                            <w:sz w:val="26"/>
                            <w:szCs w:val="26"/>
                            <w:rtl/>
                          </w:rPr>
                          <w:t>1. בסעיף 32 לחוק שירות המדינה (גמלאות) [נוסח משולב]' תש"ל-11970 (להלן -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העיקרי), אחרי סעיף קטן(ו) יבוא: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על אף האמור בסעיף זה' ייקרא סעיף קטן (ב) לגבי המנויים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להלן כאילו במקום "70%", פעמיים, נאמר "90%":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אלמנה הזכאית לגמלאות כפל' כאשר האחת היא קיצבת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שאיר עקב פטירת בעלה והשניה היא קצבת פרישה;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הזכאי לגמלאות כפל' כאשר האחת היא קצבת פרישה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או קצבת שאיר לאלמנה' והשניה היא קצבה בגלל פגיעה</w:t>
                        </w:r>
                      </w:p>
                      <w:p w:rsidR="00E13CCE" w:rsidRP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בעבודה לפי חוק הביטוח הלאומי."</w:t>
                        </w:r>
                      </w:p>
                    </w:tc>
                    <w:tc>
                      <w:tcPr>
                        <w:tcW w:w="728" w:type="pct"/>
                      </w:tcPr>
                      <w:p w:rsidR="00E13CCE" w:rsidRPr="00E13CCE" w:rsidRDefault="00E13C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מטיף 32</w:t>
                        </w:r>
                      </w:p>
                    </w:tc>
                  </w:tr>
                  <w:tr w:rsidR="00E13CCE" w:rsidRPr="00E13CC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E13CCE" w:rsidRP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2. תחילתו של חוק זה היא ביום א' בניסן תשל"ו (1 באפריל 1976).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E13CCE" w:rsidRPr="00E13CCE" w:rsidRDefault="00E13C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rtl/>
                          </w:rPr>
                          <w:t>תחילה</w:t>
                        </w:r>
                      </w:p>
                    </w:tc>
                  </w:tr>
                  <w:tr w:rsidR="00E13CCE" w:rsidRPr="00E13CCE">
                    <w:trPr>
                      <w:jc w:val="right"/>
                    </w:trPr>
                    <w:tc>
                      <w:tcPr>
                        <w:tcW w:w="4272" w:type="pct"/>
                      </w:tcPr>
                      <w:p w:rsidR="00E13CCE" w:rsidRDefault="00E13C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3, חוק זה יחול לגבי הזמן שלאחר תחילתו -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לענין סעיף 32 (ז) (1) לחוק העיקרי - גם על אלמנה של מי שנפטר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לפני כן?</w:t>
                        </w:r>
                      </w:p>
                      <w:p w:rsid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לענין סעיף 32 (ז) (2) לחוק העיקרי - גם על קצבה המגיעה בזכותו</w:t>
                        </w:r>
                      </w:p>
                      <w:p w:rsidR="00E13CCE" w:rsidRPr="00E13CCE" w:rsidRDefault="00E13CCE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של מי שפרש מהשירות לפני כן, זולת אם שולמו פיצויי פיטורים עקב הפרישה.</w:t>
                        </w:r>
                      </w:p>
                    </w:tc>
                    <w:tc>
                      <w:tcPr>
                        <w:tcW w:w="728" w:type="pct"/>
                      </w:tcPr>
                      <w:p w:rsidR="00E13CCE" w:rsidRPr="00E13CCE" w:rsidRDefault="00E13CCE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הוראות מעבר</w:t>
                        </w:r>
                      </w:p>
                    </w:tc>
                  </w:tr>
                </w:tbl>
                <w:p w:rsidR="00E13CCE" w:rsidRDefault="00E13CCE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24502" o:spid="_x0000_s1031" type="#_x0000_t202" style="position:absolute;left:0;text-align:left;margin-left:116.8pt;margin-top:74.9pt;width:344.3pt;height:30.3pt;z-index:1;mso-position-horizontal-relative:page;mso-position-vertical-relative:page" stroked="f">
            <v:textbox style="mso-next-textbox:#_x0000_s24502" inset="0,0,0,0">
              <w:txbxContent>
                <w:p w:rsidR="00E13CCE" w:rsidRPr="00E13CCE" w:rsidRDefault="00E13CCE">
                  <w:pPr>
                    <w:pStyle w:val="OCRStyle1"/>
                    <w:ind w:left="137"/>
                    <w:rPr>
                      <w:sz w:val="26"/>
                      <w:szCs w:val="26"/>
                    </w:rPr>
                  </w:pPr>
                  <w:r>
                    <w:rPr>
                      <w:sz w:val="26"/>
                      <w:szCs w:val="26"/>
                      <w:rtl/>
                    </w:rPr>
                    <w:t>חוק שירות המדינה (גמלאות) (תיקון מס' 16), תשל"ז-1977 *</w:t>
                  </w: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E13CCE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13CCE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A626EB8B-F425-4A70-88AB-339A722A40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E13CCE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4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2</cp:revision>
  <dcterms:created xsi:type="dcterms:W3CDTF">2008-04-06T22:58:00Z</dcterms:created>
  <dcterms:modified xsi:type="dcterms:W3CDTF">2008-04-06T22:58:00Z</dcterms:modified>
</cp:coreProperties>
</file>