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D64B8" w:rsidRDefault="007D64B8">
      <w:pPr>
        <w:rPr>
          <w:rtl/>
        </w:rPr>
      </w:pPr>
    </w:p>
    <w:p w:rsidR="007D64B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53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4532" inset="0,0,0,0">
              <w:txbxContent>
                <w:p w:rsidR="00C342E3" w:rsidRDefault="00C342E3">
                  <w:r>
                    <w:rPr>
                      <w:rtl/>
                    </w:rPr>
                    <w:t>10                                           ספר החוקים 784                 כ"ג בכסליו התשל"ו 27.11.1975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33" o:spid="_x0000_s1026" type="#_x0000_t202" style="position:absolute;left:0;text-align:left;margin-left:84.2pt;margin-top:663.3pt;width:380.75pt;height:90.3pt;z-index:3;mso-position-horizontal-relative:page;mso-position-vertical-relative:page" stroked="f">
            <v:textbox style="mso-next-textbox:#_x0000_s24533" inset="0,0,0,0">
              <w:txbxContent>
                <w:p w:rsidR="00C342E3" w:rsidRDefault="00C342E3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י"ד בכסלו תשל"ו (18 בנובמבר 1875); הצעת החוק ודברי הסבר פורסמו בה''ח 1212, תשל"ו,</w:t>
                  </w:r>
                </w:p>
                <w:p w:rsidR="00C342E3" w:rsidRDefault="00C342E3">
                  <w:pPr>
                    <w:pStyle w:val="OCRStyle1"/>
                    <w:ind w:left="30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72.</w:t>
                  </w:r>
                </w:p>
                <w:p w:rsidR="00C342E3" w:rsidRDefault="00C342E3">
                  <w:pPr>
                    <w:pStyle w:val="OCRStyle1"/>
                    <w:ind w:left="19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תש"ל, עמ' 65, סמי 0*1; תשלי*, עמ' 107; תשל"ג, עמי 78, עמ' 80, עמ' 82, עמ' 200, עמ' 255;</w:t>
                  </w:r>
                </w:p>
                <w:p w:rsidR="00C342E3" w:rsidRDefault="00C342E3">
                  <w:pPr>
                    <w:pStyle w:val="OCRStyle1"/>
                    <w:ind w:left="29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תשל"ה, עמ' 8*1, עמ' 238; תשל"ו, עמי .10</w:t>
                  </w:r>
                </w:p>
                <w:p w:rsidR="00C342E3" w:rsidRPr="007D64B8" w:rsidRDefault="00C342E3">
                  <w:pPr>
                    <w:pStyle w:val="OCRStyle1"/>
                    <w:ind w:left="402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חוקים 784, כ"ג בכסלו תשל''ו, 27.11.1975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34" o:spid="_x0000_s1027" type="#_x0000_t202" style="position:absolute;left:0;text-align:left;margin-left:83.45pt;margin-top:569.25pt;width:464.7pt;height:89.5pt;z-index:2;mso-position-horizontal-relative:page;mso-position-vertical-relative:page" stroked="f">
            <v:textbox style="mso-next-textbox:#_x0000_s2453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83"/>
                    <w:gridCol w:w="1066"/>
                  </w:tblGrid>
                  <w:tr w:rsidR="00C342E3" w:rsidRPr="007D64B8">
                    <w:trPr>
                      <w:jc w:val="right"/>
                    </w:trPr>
                    <w:tc>
                      <w:tcPr>
                        <w:tcW w:w="4369" w:type="pct"/>
                      </w:tcPr>
                      <w:p w:rsidR="00C342E3" w:rsidRDefault="00C342E3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(א) בחוק זה תהא לכל מונח המשמעות שיש לו בחוק שירות המדינה (גמלאות)</w:t>
                        </w:r>
                      </w:p>
                      <w:p w:rsidR="00C342E3" w:rsidRDefault="00C342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ננוסח משולב], תש"ל-1970 1 (להלן - החוק העיקרי), ויתפרש אתו כאחד.</w:t>
                        </w:r>
                      </w:p>
                      <w:p w:rsidR="00C342E3" w:rsidRDefault="00C342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מקום שבחוק זה מדובר בהקפאת ניכוי עקב היוון במועד פלוני' החל מאותו</w:t>
                        </w:r>
                      </w:p>
                      <w:p w:rsidR="00C342E3" w:rsidRDefault="00C342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לא יעלה הסכום שבו תופחת הקצבה עקב ההיוון, על הסכום שבו הופחתה כך בסמוך</w:t>
                        </w:r>
                      </w:p>
                      <w:p w:rsidR="00C342E3" w:rsidRPr="007D64B8" w:rsidRDefault="00C342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אותו מועד.</w:t>
                        </w:r>
                      </w:p>
                    </w:tc>
                    <w:tc>
                      <w:tcPr>
                        <w:tcW w:w="631" w:type="pct"/>
                      </w:tcPr>
                      <w:p w:rsidR="00C342E3" w:rsidRPr="007D64B8" w:rsidRDefault="00C342E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פרשנות</w:t>
                        </w:r>
                      </w:p>
                    </w:tc>
                  </w:tr>
                </w:tbl>
                <w:p w:rsidR="00C342E3" w:rsidRDefault="00C342E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535" o:spid="_x0000_s1028" type="#_x0000_t202" style="position:absolute;left:0;text-align:left;margin-left:83.45pt;margin-top:436.4pt;width:392.45pt;height:128.3pt;z-index:1;mso-position-horizontal-relative:page;mso-position-vertical-relative:page" stroked="f">
            <v:textbox style="mso-next-textbox:#_x0000_s24535" inset="0,0,0,0">
              <w:txbxContent>
                <w:p w:rsidR="00C342E3" w:rsidRDefault="00C342E3">
                  <w:pPr>
                    <w:pStyle w:val="OCRStyle1"/>
                    <w:ind w:left="414"/>
                    <w:rPr>
                      <w:rtl/>
                    </w:rPr>
                  </w:pPr>
                </w:p>
                <w:p w:rsidR="00C342E3" w:rsidRDefault="00C342E3">
                  <w:pPr>
                    <w:pStyle w:val="OCRStyle1"/>
                    <w:ind w:left="540"/>
                    <w:rPr>
                      <w:rtl/>
                    </w:rPr>
                  </w:pPr>
                </w:p>
                <w:p w:rsidR="00C342E3" w:rsidRDefault="00C342E3">
                  <w:pPr>
                    <w:pStyle w:val="OCRStyle1"/>
                    <w:ind w:left="436"/>
                    <w:rPr>
                      <w:rtl/>
                    </w:rPr>
                  </w:pPr>
                </w:p>
                <w:p w:rsidR="00C342E3" w:rsidRDefault="00C342E3">
                  <w:pPr>
                    <w:pStyle w:val="OCRStyle1"/>
                    <w:ind w:left="529"/>
                    <w:rPr>
                      <w:rtl/>
                    </w:rPr>
                  </w:pPr>
                </w:p>
                <w:p w:rsidR="00C342E3" w:rsidRDefault="00C342E3">
                  <w:pPr>
                    <w:pStyle w:val="OCRStyle1"/>
                    <w:ind w:left="634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שירות המדינה (גמלאות) (תיקון מס' 11 והוראות מעבר),</w:t>
                  </w:r>
                </w:p>
                <w:p w:rsidR="00C342E3" w:rsidRPr="007D64B8" w:rsidRDefault="00C342E3">
                  <w:pPr>
                    <w:pStyle w:val="OCRStyle1"/>
                    <w:ind w:left="292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תשל"ו-1975*</w:t>
                  </w:r>
                </w:p>
              </w:txbxContent>
            </v:textbox>
            <w10:wrap anchorx="page" anchory="page"/>
          </v:shape>
        </w:pict>
      </w:r>
    </w:p>
    <w:p w:rsidR="00FC7CA0" w:rsidRDefault="00FC7CA0">
      <w:pPr>
        <w:rPr>
          <w:rtl/>
        </w:rPr>
      </w:pPr>
      <w:r>
        <w:rPr>
          <w:rtl/>
        </w:rPr>
        <w:br w:type="page"/>
      </w:r>
    </w:p>
    <w:p w:rsidR="00FC7CA0" w:rsidRDefault="00000000">
      <w:pPr>
        <w:rPr>
          <w:rtl/>
        </w:rPr>
      </w:pPr>
      <w:r>
        <w:pict>
          <v:shape id="_x0000_s24536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4536" inset="0,0,0,0">
              <w:txbxContent>
                <w:p w:rsidR="00C342E3" w:rsidRDefault="00C342E3">
                  <w:r>
                    <w:rPr>
                      <w:rtl/>
                    </w:rPr>
                    <w:t>11                                           ספר החוקים 784                 כ"ג בכסליו התשל"ו 27.11.1975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37" o:spid="_x0000_s1030" type="#_x0000_t202" style="position:absolute;left:0;text-align:left;margin-left:356.9pt;margin-top:703.1pt;width:185.35pt;height:53.25pt;z-index:6;mso-position-horizontal-relative:page;mso-position-vertical-relative:page" stroked="f">
            <v:textbox style="mso-next-textbox:#_x0000_s24537" inset="0,0,0,0">
              <w:txbxContent>
                <w:p w:rsidR="00C342E3" w:rsidRPr="00FC7CA0" w:rsidRDefault="00C342E3">
                  <w:pPr>
                    <w:pStyle w:val="OCRStyle2"/>
                    <w:ind w:left="544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2 ס"ח תשל"א, עמ' 107.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38" o:spid="_x0000_s1031" type="#_x0000_t202" style="position:absolute;left:0;text-align:left;margin-left:78.55pt;margin-top:69.3pt;width:454.6pt;height:624.7pt;z-index:5;mso-position-horizontal-relative:page;mso-position-vertical-relative:page" stroked="f">
            <v:textbox style="mso-next-textbox:#_x0000_s24538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2"/>
                    <w:gridCol w:w="7074"/>
                  </w:tblGrid>
                  <w:tr w:rsidR="00C342E3" w:rsidRPr="00FC7CA0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C342E3" w:rsidRPr="00FC7CA0" w:rsidRDefault="00C342E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109</w:t>
                        </w:r>
                      </w:p>
                    </w:tc>
                    <w:tc>
                      <w:tcPr>
                        <w:tcW w:w="4279" w:type="pct"/>
                      </w:tcPr>
                      <w:p w:rsidR="00C342E3" w:rsidRDefault="00C342E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  <w:p w:rsidR="00C342E3" w:rsidRDefault="00C342E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109 (ב) לחוק העיקרי, במקום פסקה (3&gt; יבוא:</w:t>
                        </w:r>
                      </w:p>
                      <w:p w:rsidR="00C342E3" w:rsidRDefault="00C342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-(3) לא תהוון לפיהן קצבה שתגיע לזכאי כעבור שש שנים</w:t>
                        </w:r>
                      </w:p>
                      <w:p w:rsidR="00C342E3" w:rsidRPr="00FC7CA0" w:rsidRDefault="00C342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ממועד ההיוון;".</w:t>
                        </w:r>
                      </w:p>
                    </w:tc>
                  </w:tr>
                  <w:tr w:rsidR="00C342E3" w:rsidRPr="00FC7CA0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C342E3" w:rsidRDefault="00C342E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  <w:p w:rsidR="00C342E3" w:rsidRPr="00FC7CA0" w:rsidRDefault="00C342E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בהירון לצמיתות</w:t>
                        </w:r>
                      </w:p>
                    </w:tc>
                    <w:tc>
                      <w:tcPr>
                        <w:tcW w:w="4279" w:type="pct"/>
                      </w:tcPr>
                      <w:p w:rsidR="00C342E3" w:rsidRDefault="00C342E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מי שהיון לצמיתות חלק מקצבתו לסבי י"ט בטבת תשכ"ח (18 בפברואר 1968),</w:t>
                        </w:r>
                      </w:p>
                      <w:p w:rsidR="00C342E3" w:rsidRDefault="00C342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עליו הוראות אלה:</w:t>
                        </w:r>
                      </w:p>
                      <w:p w:rsidR="00C342E3" w:rsidRDefault="00C342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רואים אותו כאילו היון אותו חלק מקצבתו ממועד ההיוון לתקופה של</w:t>
                        </w:r>
                      </w:p>
                      <w:p w:rsidR="00C342E3" w:rsidRDefault="00C342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שנים בלבד או לתקופה המסתיימת ביום שבו מלאו לו 68 שנים, הכל לסי</w:t>
                        </w:r>
                      </w:p>
                      <w:p w:rsidR="00C342E3" w:rsidRDefault="00C342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המאוחר;</w:t>
                        </w:r>
                      </w:p>
                      <w:p w:rsidR="00C342E3" w:rsidRDefault="00C342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לאחר תום השגה השמינית ממועד ההיוון או החל מהיום שבו מלאו לו 68</w:t>
                        </w:r>
                      </w:p>
                      <w:p w:rsidR="00C342E3" w:rsidRDefault="00C342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שנים, הבל לפי המאוחר, תחול הקפאת ניכוי עקב היוון:</w:t>
                        </w:r>
                      </w:p>
                      <w:p w:rsidR="00C342E3" w:rsidRDefault="00C342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נקבעה לו לפי החוק העיקרי דרגת נכות של 100% ייקראו פסקאות (1)</w:t>
                        </w:r>
                      </w:p>
                      <w:p w:rsidR="00C342E3" w:rsidRDefault="00C342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ו-(2) כאילו במקום "68 שנים" או "35 שנים", לפי הענין, בא "58 שנים";</w:t>
                        </w:r>
                      </w:p>
                      <w:p w:rsidR="00C342E3" w:rsidRDefault="00C342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נקבעת לו כאמור דרגת בכות של 60% או יותר. אך כחות מ-100%,</w:t>
                        </w:r>
                      </w:p>
                      <w:p w:rsidR="00C342E3" w:rsidRDefault="00C342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אותו כאילו היון את החלק המהוון לתקופה של אחת עשרה שנה בלבד או</w:t>
                        </w:r>
                      </w:p>
                      <w:p w:rsidR="00C342E3" w:rsidRDefault="00C342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המסתיימת ביום שבו מלאו לו 58 שנים, הכל לפי המאוחר;</w:t>
                        </w:r>
                      </w:p>
                      <w:p w:rsidR="00C342E3" w:rsidRDefault="00C342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חלה עליו פסקה (4), תחול הקפאת ניכוי עקב היוון לאחר תום השנה</w:t>
                        </w:r>
                      </w:p>
                      <w:p w:rsidR="00C342E3" w:rsidRDefault="00C342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העשירית ממועד ההיוון או החל מהיום שבו מלאו לו 58 שנים, הכל לפי</w:t>
                        </w:r>
                      </w:p>
                      <w:p w:rsidR="00C342E3" w:rsidRDefault="00C342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המאוחר;</w:t>
                        </w:r>
                      </w:p>
                      <w:p w:rsidR="00C342E3" w:rsidRDefault="00C342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פסקאות (4) ו-(5) לא יחולו כשהחישוג לפי פסקאות (1) ו-(2) נוח יותר</w:t>
                        </w:r>
                      </w:p>
                      <w:p w:rsidR="00C342E3" w:rsidRDefault="00C342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לזכאי לקצבה;</w:t>
                        </w:r>
                      </w:p>
                      <w:p w:rsidR="00C342E3" w:rsidRDefault="00C342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הגיעה הקצבה המהוונת עקב פרישה מהשירות כשוטר או כסוהר, ייקרא</w:t>
                        </w:r>
                      </w:p>
                      <w:p w:rsidR="00C342E3" w:rsidRDefault="00C342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 כאילו במקום "68 שנים", בכל מקום שבו, בא "65 שנים";</w:t>
                        </w:r>
                      </w:p>
                      <w:p w:rsidR="00C342E3" w:rsidRDefault="00C342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סעיף 2 לחוק שירות המדינה (גמלאות) (הוראות מעבר), תשל"א-1971 2,</w:t>
                        </w:r>
                      </w:p>
                      <w:p w:rsidR="00C342E3" w:rsidRDefault="00C342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יחול עוד על קצבאות המשתלמות לזכאי להן החל מיום י"ח בטבת תשל"ה (1</w:t>
                        </w:r>
                      </w:p>
                      <w:p w:rsidR="00C342E3" w:rsidRPr="00FC7CA0" w:rsidRDefault="00C342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בינואר 1975), אלא אם החישוב לפיו נוח יותר לזכאי לקצבה.</w:t>
                        </w:r>
                      </w:p>
                    </w:tc>
                  </w:tr>
                  <w:tr w:rsidR="00C342E3" w:rsidRPr="00FC7CA0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C342E3" w:rsidRDefault="00C342E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  <w:p w:rsidR="00C342E3" w:rsidRPr="00FC7CA0" w:rsidRDefault="00C342E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בהיוון לעשר קנים</w:t>
                        </w:r>
                      </w:p>
                    </w:tc>
                    <w:tc>
                      <w:tcPr>
                        <w:tcW w:w="4279" w:type="pct"/>
                      </w:tcPr>
                      <w:p w:rsidR="00C342E3" w:rsidRDefault="00C342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,4. (א) מי שלפני יום י"ח בטבת תשל"ה (1 בינואר 1975) היון חלק מקצבתו לתקופה</w:t>
                        </w:r>
                      </w:p>
                      <w:p w:rsidR="00C342E3" w:rsidRDefault="00C342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עשר שנים. יחולו עליו הוראות אלה:</w:t>
                        </w:r>
                      </w:p>
                      <w:p w:rsidR="00C342E3" w:rsidRDefault="00C342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רואים אותו כאילו היון אותו חלק מקצבתו ממועד ההיוון לתקופה של</w:t>
                        </w:r>
                      </w:p>
                      <w:p w:rsidR="00C342E3" w:rsidRDefault="00C342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שמונה שנים בלבד או לתקופה המסתיימת ביום שבו מלאו לו 65 שנים, הכל לפי</w:t>
                        </w:r>
                      </w:p>
                      <w:p w:rsidR="00C342E3" w:rsidRDefault="00C342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המאוחר;</w:t>
                        </w:r>
                      </w:p>
                      <w:p w:rsidR="00C342E3" w:rsidRDefault="00C342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לאחר תום השבה הששית ממועד ההיוון או החל מהיום שבו מלאו לו 65</w:t>
                        </w:r>
                      </w:p>
                      <w:p w:rsidR="00C342E3" w:rsidRDefault="00C342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שנים, הכל לפי המאוחר, תחול הקפאת ניכוי עקב היוון;</w:t>
                        </w:r>
                      </w:p>
                      <w:p w:rsidR="00C342E3" w:rsidRDefault="00C342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בקבעה לו לפי החוק העיקרי סמוך לפרישתו דרגת נכות של 100%/</w:t>
                        </w:r>
                      </w:p>
                      <w:p w:rsidR="00C342E3" w:rsidRDefault="00C342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ייקראו פסקאות (1) ו-(2) כאילו במקום "65 שבים" בא "55 שבים";</w:t>
                        </w:r>
                      </w:p>
                      <w:p w:rsidR="00C342E3" w:rsidRDefault="00C342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נקבעה לו כאמור דרגת נכות של 60% או יותר, אך פחות מ-100%,</w:t>
                        </w:r>
                      </w:p>
                      <w:p w:rsidR="00C342E3" w:rsidRDefault="00C342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אותו כאילו היוון את החלק המהוון לתקופה של תשע שבים בלבד או</w:t>
                        </w:r>
                      </w:p>
                      <w:p w:rsidR="00C342E3" w:rsidRPr="00FC7CA0" w:rsidRDefault="00C342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המסתיימת ביום שבו מלאו לו 55 שנים, הכל לסי המאוחר;</w:t>
                        </w:r>
                      </w:p>
                    </w:tc>
                  </w:tr>
                </w:tbl>
                <w:p w:rsidR="00C342E3" w:rsidRDefault="00C342E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342E3" w:rsidRDefault="00C342E3">
      <w:pPr>
        <w:rPr>
          <w:rtl/>
        </w:rPr>
      </w:pPr>
      <w:r>
        <w:rPr>
          <w:rtl/>
        </w:rPr>
        <w:br w:type="page"/>
      </w:r>
    </w:p>
    <w:p w:rsidR="00C342E3" w:rsidRDefault="00000000">
      <w:pPr>
        <w:rPr>
          <w:rtl/>
        </w:rPr>
      </w:pPr>
      <w:r>
        <w:pict>
          <v:shape id="_x0000_s24539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4539" inset="0,0,0,0">
              <w:txbxContent>
                <w:p w:rsidR="00C342E3" w:rsidRDefault="00C342E3">
                  <w:r>
                    <w:rPr>
                      <w:rtl/>
                    </w:rPr>
                    <w:t>12                                           ספר החוקים 784                 כ"ג בכסליו התשל"ו 27.11.1975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40" o:spid="_x0000_s1033" type="#_x0000_t202" style="position:absolute;left:0;text-align:left;margin-left:106.8pt;margin-top:416.75pt;width:120.8pt;height:35.45pt;z-index:11;mso-position-horizontal-relative:page;mso-position-vertical-relative:page" stroked="f">
            <v:textbox style="mso-next-textbox:#_x0000_s24540" inset="0,0,0,0">
              <w:txbxContent>
                <w:p w:rsidR="00C342E3" w:rsidRDefault="00C342E3">
                  <w:pPr>
                    <w:pStyle w:val="OCRStyle3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C342E3" w:rsidRDefault="00C342E3">
                  <w:pPr>
                    <w:pStyle w:val="OCRStyle3"/>
                    <w:ind w:left="62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41" o:spid="_x0000_s1034" type="#_x0000_t202" style="position:absolute;left:0;text-align:left;margin-left:249.35pt;margin-top:418.5pt;width:85.35pt;height:39.2pt;z-index:10;mso-position-horizontal-relative:page;mso-position-vertical-relative:page" stroked="f">
            <v:textbox style="mso-next-textbox:#_x0000_s24541" inset="0,0,0,0">
              <w:txbxContent>
                <w:p w:rsidR="00C342E3" w:rsidRDefault="00C342E3">
                  <w:pPr>
                    <w:pStyle w:val="OCRStyle3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C342E3" w:rsidRDefault="00C342E3">
                  <w:pPr>
                    <w:pStyle w:val="OCRStyle3"/>
                    <w:ind w:left="2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42" o:spid="_x0000_s1035" type="#_x0000_t202" style="position:absolute;left:0;text-align:left;margin-left:375.7pt;margin-top:445.85pt;width:119pt;height:49.9pt;z-index:9;mso-position-horizontal-relative:page;mso-position-vertical-relative:page" stroked="f">
            <v:textbox style="mso-next-textbox:#_x0000_s24542" inset="0,0,0,0">
              <w:txbxContent>
                <w:p w:rsidR="00C342E3" w:rsidRDefault="00C342E3">
                  <w:pPr>
                    <w:pStyle w:val="OCRStyle3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C342E3" w:rsidRDefault="00C342E3">
                  <w:pPr>
                    <w:pStyle w:val="OCRStyle3"/>
                    <w:ind w:left="40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43" o:spid="_x0000_s1036" type="#_x0000_t202" style="position:absolute;left:0;text-align:left;margin-left:93.15pt;margin-top:79.75pt;width:467.85pt;height:324.3pt;z-index:8;mso-position-horizontal-relative:page;mso-position-vertical-relative:page" stroked="f">
            <v:textbox style="mso-next-textbox:#_x0000_s2454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31"/>
                    <w:gridCol w:w="1075"/>
                  </w:tblGrid>
                  <w:tr w:rsidR="00C342E3" w:rsidRPr="00C342E3">
                    <w:trPr>
                      <w:jc w:val="right"/>
                    </w:trPr>
                    <w:tc>
                      <w:tcPr>
                        <w:tcW w:w="4368" w:type="pct"/>
                      </w:tcPr>
                      <w:p w:rsidR="00C342E3" w:rsidRDefault="00C342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  <w:p w:rsidR="00C342E3" w:rsidRDefault="00C342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חלה עליו פסקה (4)' תחול הקפאת ניכוי עקב היוון לאחר תום השבה</w:t>
                        </w:r>
                      </w:p>
                      <w:p w:rsidR="00C342E3" w:rsidRDefault="00C342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השמינית ממועד ההיוון או החל מהיום שבו מלאו לו 55 שנים. הכל לפי</w:t>
                        </w:r>
                      </w:p>
                      <w:p w:rsidR="00C342E3" w:rsidRDefault="00C342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המאוחר;</w:t>
                        </w:r>
                      </w:p>
                      <w:p w:rsidR="00C342E3" w:rsidRDefault="00C342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(0) פסקאות (14 ו-(5) לא יחולו כשהחישוב לפי פסקאות (0 ו-(2) נוח יותר</w:t>
                        </w:r>
                      </w:p>
                      <w:p w:rsidR="00C342E3" w:rsidRDefault="00C342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לזכאי לקצבה.</w:t>
                        </w:r>
                      </w:p>
                      <w:p w:rsidR="00C342E3" w:rsidRDefault="00C342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מי שהיון בתקופה שביין יום י"ח בטבת תשל"ה (1 בינואר 1975) לבין יום קבלת</w:t>
                        </w:r>
                      </w:p>
                      <w:p w:rsidR="00C342E3" w:rsidRDefault="00C342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בכנסת חלק מקצבתו לתקופה של עשר שנים, רואים אותו כאילו היון אותו חלק</w:t>
                        </w:r>
                      </w:p>
                      <w:p w:rsidR="00C342E3" w:rsidRDefault="00C342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מקצבתו ממועד ההיוון לתקופה של תשע שנים בלבד או לתקופה המסתיימת ביום שבו</w:t>
                        </w:r>
                      </w:p>
                      <w:p w:rsidR="00C342E3" w:rsidRDefault="00C342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מלאו לו 63 שנים, הכל לפי המאוחר.</w:t>
                        </w:r>
                      </w:p>
                      <w:p w:rsidR="00C342E3" w:rsidRDefault="00C342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בסעיפים קטנים (א) ו-(ב), תקופת ההיוון של קצבה שסעיף זה</w:t>
                        </w:r>
                      </w:p>
                      <w:p w:rsidR="00C342E3" w:rsidRDefault="00C342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 עליו לא תעלה על עשר שנים.</w:t>
                        </w:r>
                      </w:p>
                      <w:p w:rsidR="00C342E3" w:rsidRDefault="00C342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הצעה הקצבה יעד הקצבה המהוונת עקב פרישה מהשירות כשוטר או כסוהר, ייקרא סעיף</w:t>
                        </w:r>
                      </w:p>
                      <w:p w:rsidR="00C342E3" w:rsidRDefault="00C342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כאילו במקום "63 שנים", בכל מקום שבו, בא "62 שנים".</w:t>
                        </w:r>
                      </w:p>
                      <w:p w:rsidR="00C342E3" w:rsidRDefault="00C342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החל מהמועדים שבהן מסתיימות לגבי זכאי פלוני התקופות האמורות בסעיפים 3(1)</w:t>
                        </w:r>
                      </w:p>
                      <w:p w:rsidR="00C342E3" w:rsidRDefault="00C342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(4) או 4 (א) (1) או (4) או 4 (ב). תשולם קצבתו כאילו לא הוונה, והזכאי לה לא יהא</w:t>
                        </w:r>
                      </w:p>
                      <w:p w:rsidR="00C342E3" w:rsidRPr="00C342E3" w:rsidRDefault="00C342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להחזיר כל חלק שהיון.</w:t>
                        </w:r>
                      </w:p>
                    </w:tc>
                    <w:tc>
                      <w:tcPr>
                        <w:tcW w:w="632" w:type="pct"/>
                      </w:tcPr>
                      <w:p w:rsidR="00C342E3" w:rsidRDefault="00C342E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גמר הניכוי</w:t>
                        </w:r>
                      </w:p>
                      <w:p w:rsidR="00C342E3" w:rsidRPr="00C342E3" w:rsidRDefault="00C342E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עקב היוון</w:t>
                        </w:r>
                      </w:p>
                    </w:tc>
                  </w:tr>
                  <w:tr w:rsidR="00C342E3" w:rsidRPr="00C342E3">
                    <w:trPr>
                      <w:jc w:val="right"/>
                    </w:trPr>
                    <w:tc>
                      <w:tcPr>
                        <w:tcW w:w="4368" w:type="pct"/>
                      </w:tcPr>
                      <w:p w:rsidR="00C342E3" w:rsidRDefault="00C342E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קצבה על פי הוראות חוק זה תשולם רק לגבי התקופה שמיום י"ח בטבת תשל"ה (1</w:t>
                        </w:r>
                      </w:p>
                      <w:p w:rsidR="00C342E3" w:rsidRPr="00C342E3" w:rsidRDefault="00C342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בינואר 0975 ואילך.</w:t>
                        </w:r>
                      </w:p>
                    </w:tc>
                    <w:tc>
                      <w:tcPr>
                        <w:tcW w:w="632" w:type="pct"/>
                      </w:tcPr>
                      <w:p w:rsidR="00C342E3" w:rsidRPr="00C342E3" w:rsidRDefault="00C342E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C342E3" w:rsidRDefault="00C342E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D64B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D64B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83702C9-6CBA-4697-8522-80329689B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D64B8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FC7CA0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C342E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2008-04-06T22:31:00Z</dcterms:created>
  <dcterms:modified xsi:type="dcterms:W3CDTF">2008-04-06T22:32:00Z</dcterms:modified>
</cp:coreProperties>
</file>