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B530F" w:rsidRDefault="005B530F">
      <w:pPr>
        <w:rPr>
          <w:rtl/>
        </w:rPr>
      </w:pPr>
    </w:p>
    <w:p w:rsidR="005B530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471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4712" inset="0,0,0,0">
              <w:txbxContent>
                <w:p w:rsidR="005B530F" w:rsidRDefault="005B530F">
                  <w:r>
                    <w:rPr>
                      <w:rtl/>
                    </w:rPr>
                    <w:t>64                                           ספר החוקים 419                   י"ד באדר התשכ"ד 27.02.1964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24713" o:spid="_x0000_s1026" type="#_x0000_t202" style="position:absolute;left:0;text-align:left;margin-left:92.95pt;margin-top:612.3pt;width:377.8pt;height:129.1pt;z-index:6;mso-position-horizontal-relative:page;mso-position-vertical-relative:page" stroked="f">
            <v:textbox style="mso-next-textbox:#_x0000_s24713" inset="0,0,0,0">
              <w:txbxContent>
                <w:p w:rsidR="005B530F" w:rsidRDefault="005B530F">
                  <w:pPr>
                    <w:pStyle w:val="OCRStyle1"/>
                    <w:ind w:left="7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וי באדר תשכ"ד (19 בפברואר 1904); הצעת החוק ודברי הסבר פורסמו בה"ח 590, תשכ"ד/</w:t>
                  </w:r>
                </w:p>
                <w:p w:rsidR="005B530F" w:rsidRDefault="005B530F">
                  <w:pPr>
                    <w:pStyle w:val="OCRStyle1"/>
                    <w:ind w:left="19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52.</w:t>
                  </w:r>
                </w:p>
                <w:p w:rsidR="005B530F" w:rsidRDefault="005B530F">
                  <w:pPr>
                    <w:pStyle w:val="OCRStyle1"/>
                    <w:ind w:left="9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ס"ח  תשט"ו, עמ' 135; ס"ח תשכ"א, עמ' 51; ס"ח תשכ"א, עמ' 173; ס"ח תשכ"ג, עמ' 59.</w:t>
                  </w:r>
                </w:p>
                <w:p w:rsidR="005B530F" w:rsidRPr="005B530F" w:rsidRDefault="005B530F">
                  <w:pPr>
                    <w:pStyle w:val="OCRStyle1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 xml:space="preserve"> הודפס ע"י המדפיס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4714" o:spid="_x0000_s1027" type="#_x0000_t202" style="position:absolute;left:0;text-align:left;margin-left:118.7pt;margin-top:356.5pt;width:114.45pt;height:55.05pt;z-index:5;mso-position-horizontal-relative:page;mso-position-vertical-relative:page" stroked="f">
            <v:textbox style="mso-next-textbox:#_x0000_s24714" inset="0,0,0,0">
              <w:txbxContent>
                <w:p w:rsidR="005B530F" w:rsidRDefault="005B530F">
                  <w:pPr>
                    <w:pStyle w:val="OCRStyle1"/>
                    <w:ind w:left="515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5B530F" w:rsidRDefault="005B530F">
                  <w:pPr>
                    <w:pStyle w:val="OCRStyle1"/>
                    <w:ind w:left="518"/>
                    <w:rPr>
                      <w:rtl/>
                    </w:rPr>
                  </w:pPr>
                  <w:r>
                    <w:rPr>
                      <w:rtl/>
                    </w:rPr>
                    <w:t>ראש הממשלה</w:t>
                  </w:r>
                </w:p>
                <w:p w:rsidR="005B530F" w:rsidRDefault="005B530F">
                  <w:pPr>
                    <w:pStyle w:val="OCRStyle1"/>
                    <w:ind w:left="176"/>
                  </w:pPr>
                  <w:r>
                    <w:rPr>
                      <w:rtl/>
                    </w:rPr>
                    <w:t>ממלא מקום 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4715" o:spid="_x0000_s1028" type="#_x0000_t202" style="position:absolute;left:0;text-align:left;margin-left:356.3pt;margin-top:401.25pt;width:130.1pt;height:42.15pt;z-index:4;mso-position-horizontal-relative:page;mso-position-vertical-relative:page" stroked="f">
            <v:textbox style="mso-next-textbox:#_x0000_s24715" inset="0,0,0,0">
              <w:txbxContent>
                <w:p w:rsidR="005B530F" w:rsidRDefault="005B530F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5B530F" w:rsidRDefault="005B530F">
                  <w:pPr>
                    <w:pStyle w:val="OCRStyle1"/>
                    <w:ind w:left="60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716" o:spid="_x0000_s1029" type="#_x0000_t202" style="position:absolute;left:0;text-align:left;margin-left:241.85pt;margin-top:360.05pt;width:89.5pt;height:41.2pt;z-index:3;mso-position-horizontal-relative:page;mso-position-vertical-relative:page" stroked="f">
            <v:textbox style="mso-next-textbox:#_x0000_s24716" inset="0,0,0,0">
              <w:txbxContent>
                <w:p w:rsidR="005B530F" w:rsidRDefault="005B530F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5B530F" w:rsidRDefault="005B530F">
                  <w:pPr>
                    <w:pStyle w:val="OCRStyle1"/>
                    <w:ind w:left="25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717" o:spid="_x0000_s1030" type="#_x0000_t202" style="position:absolute;left:0;text-align:left;margin-left:87.8pt;margin-top:113.75pt;width:470.85pt;height:228.1pt;z-index:2;mso-position-horizontal-relative:page;mso-position-vertical-relative:page" stroked="f">
            <v:textbox style="mso-next-textbox:#_x0000_s24717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15"/>
                    <w:gridCol w:w="1145"/>
                  </w:tblGrid>
                  <w:tr w:rsidR="005B530F" w:rsidRPr="005B530F">
                    <w:trPr>
                      <w:jc w:val="right"/>
                    </w:trPr>
                    <w:tc>
                      <w:tcPr>
                        <w:tcW w:w="4331" w:type="pct"/>
                      </w:tcPr>
                      <w:p w:rsidR="005B530F" w:rsidRDefault="005B530F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28 לחוק שירות המדינה (גימלאות), תשט"ו-1955   1(להלן - החוק העיקרי) -</w:t>
                        </w:r>
                      </w:p>
                      <w:p w:rsidR="005B530F" w:rsidRDefault="005B53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פסקה (1) יבוא:</w:t>
                        </w:r>
                      </w:p>
                      <w:p w:rsidR="005B530F" w:rsidRDefault="005B53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זכאי לקיצבת פרישה, וכן אלמנה הזכאית לקיצבת שאיר,</w:t>
                        </w:r>
                      </w:p>
                      <w:p w:rsidR="005B530F" w:rsidRDefault="005B53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שמשכורתם הקיימת פחותה מהמשכורת הקובעת שלפיה יש</w:t>
                        </w:r>
                      </w:p>
                      <w:p w:rsidR="005B530F" w:rsidRDefault="005B53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לחשב את קיצבתם-תשולם להם קיצבה כהפרש שבין משכור-</w:t>
                        </w:r>
                      </w:p>
                      <w:p w:rsidR="005B530F" w:rsidRDefault="005B53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תם הקיימת לבין המשכורת הקובעת, ובלבד שלא תעלה על</w:t>
                        </w:r>
                      </w:p>
                      <w:p w:rsidR="005B530F" w:rsidRDefault="005B53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הקיצבה שהיתה מגיעה להם אלמלא הוראת סעיף זה; עלתה</w:t>
                        </w:r>
                      </w:p>
                      <w:p w:rsidR="005B530F" w:rsidRDefault="005B53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המשכורת הקיימת על המשכורת הקובעת, לא תשולם להם</w:t>
                        </w:r>
                      </w:p>
                      <w:p w:rsidR="005B530F" w:rsidRDefault="005B53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קיצבה :"</w:t>
                        </w:r>
                      </w:p>
                      <w:p w:rsidR="005B530F" w:rsidRDefault="005B53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(2), אחרי המלים "זכאי לקיצבת שאיר" יבוא "להוציא אלמנה</w:t>
                        </w:r>
                      </w:p>
                      <w:p w:rsidR="005B530F" w:rsidRPr="005B530F" w:rsidRDefault="005B53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הזכאית לקיצבת שאיר".</w:t>
                        </w:r>
                      </w:p>
                    </w:tc>
                    <w:tc>
                      <w:tcPr>
                        <w:tcW w:w="669" w:type="pct"/>
                      </w:tcPr>
                      <w:p w:rsidR="005B530F" w:rsidRPr="005B530F" w:rsidRDefault="005B530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28</w:t>
                        </w:r>
                      </w:p>
                    </w:tc>
                  </w:tr>
                  <w:tr w:rsidR="005B530F" w:rsidRPr="005B530F">
                    <w:trPr>
                      <w:jc w:val="right"/>
                    </w:trPr>
                    <w:tc>
                      <w:tcPr>
                        <w:tcW w:w="4331" w:type="pct"/>
                      </w:tcPr>
                      <w:p w:rsidR="005B530F" w:rsidRDefault="005B530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תחילתו של חוק זה לגבי אלמנה של עובד שנפטר לפני פרסומו, היא ביום ט"ז בטבת</w:t>
                        </w:r>
                      </w:p>
                      <w:p w:rsidR="005B530F" w:rsidRPr="005B530F" w:rsidRDefault="005B53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תשכ"ד (1 בינואר 1964) או ביום פטירתו' הכל לפי המועד המאוחר יותר.</w:t>
                        </w:r>
                      </w:p>
                    </w:tc>
                    <w:tc>
                      <w:tcPr>
                        <w:tcW w:w="669" w:type="pct"/>
                      </w:tcPr>
                      <w:p w:rsidR="005B530F" w:rsidRPr="005B530F" w:rsidRDefault="005B530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5B530F" w:rsidRDefault="005B530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4718" o:spid="_x0000_s1031" type="#_x0000_t202" style="position:absolute;left:0;text-align:left;margin-left:108.4pt;margin-top:83.65pt;width:358.95pt;height:24.15pt;z-index:1;mso-position-horizontal-relative:page;mso-position-vertical-relative:page" stroked="f">
            <v:textbox style="mso-next-textbox:#_x0000_s24718" inset="0,0,0,0">
              <w:txbxContent>
                <w:p w:rsidR="005B530F" w:rsidRPr="005B530F" w:rsidRDefault="005B530F">
                  <w:pPr>
                    <w:pStyle w:val="OCRStyle1"/>
                    <w:ind w:left="245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שירות המדינה (גימלאות) (תיקון מס' 4), תשכ"ד-1964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B530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B530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D0403E8-003A-48D6-8AE1-4105E312D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B530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2008-04-06T20:01:00Z</dcterms:created>
  <dcterms:modified xsi:type="dcterms:W3CDTF">2008-04-06T20:01:00Z</dcterms:modified>
</cp:coreProperties>
</file>