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A5D50" w:rsidRDefault="00DA5D50">
      <w:pPr>
        <w:rPr>
          <w:rtl/>
        </w:rPr>
      </w:pPr>
    </w:p>
    <w:p w:rsidR="00DA5D5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4792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4792" inset="0,0,0,0">
              <w:txbxContent>
                <w:p w:rsidR="00573D90" w:rsidRDefault="00573D90">
                  <w:r>
                    <w:rPr>
                      <w:rtl/>
                    </w:rPr>
                    <w:t>32                                          ספר החוקים 1072                   כ"ו בטבת התשמ"ג 11.01.1983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24793" o:spid="_x0000_s1026" type="#_x0000_t202" style="position:absolute;left:0;text-align:left;margin-left:81.35pt;margin-top:654.45pt;width:413.4pt;height:80pt;z-index:3;mso-wrap-style:none;mso-position-horizontal-relative:page;mso-position-vertical-relative:page" stroked="f">
            <v:textbox style="mso-next-textbox:#_x0000_s24793" inset="0,0,0,0">
              <w:txbxContent>
                <w:p w:rsidR="00573D90" w:rsidRDefault="00573D90">
                  <w:pPr>
                    <w:pStyle w:val="OCRStyle1"/>
                    <w:ind w:left="46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? נתקבל בכנסת ביום י"ח בטבת התשמ"ג (3 בינואר 1983); הצעת החוק ודברי הסבר פורסמו בה"ח 1560,</w:t>
                  </w:r>
                </w:p>
                <w:p w:rsidR="00573D90" w:rsidRDefault="00573D90">
                  <w:pPr>
                    <w:pStyle w:val="OCRStyle1"/>
                    <w:ind w:left="64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התשמ''ב, עמ' 50.</w:t>
                  </w:r>
                </w:p>
                <w:p w:rsidR="00573D90" w:rsidRDefault="00573D90">
                  <w:pPr>
                    <w:pStyle w:val="OCRStyle1"/>
                    <w:ind w:left="48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התשכ"ג, עמ' 50, עמ' 98; תשהל''א, עמ' 39; התשל''ד, עמ' 54; חתשל''ו, עמ' 20; התשל"ז, עמ' 170;</w:t>
                  </w:r>
                </w:p>
                <w:p w:rsidR="00573D90" w:rsidRPr="00DA5D50" w:rsidRDefault="00573D90">
                  <w:pPr>
                    <w:pStyle w:val="OCRStyle1"/>
                    <w:ind w:left="64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התשמ''ב, עמ' .20</w:t>
                  </w:r>
                </w:p>
              </w:txbxContent>
            </v:textbox>
            <w10:wrap anchorx="page" anchory="page"/>
          </v:shape>
        </w:pict>
      </w:r>
      <w:r>
        <w:pict>
          <v:shape id="_x0000_s24794" o:spid="_x0000_s1027" type="#_x0000_t202" style="position:absolute;left:0;text-align:left;margin-left:79.75pt;margin-top:93.3pt;width:472.8pt;height:558.55pt;z-index:2;mso-wrap-style:none;mso-position-horizontal-relative:page;mso-position-vertical-relative:page" stroked="f">
            <v:textbox style="mso-next-textbox:#_x0000_s24794" inset="0,0,0,0">
              <w:txbxContent>
                <w:tbl>
                  <w:tblPr>
                    <w:tblW w:w="50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89"/>
                    <w:gridCol w:w="1238"/>
                    <w:gridCol w:w="1368"/>
                  </w:tblGrid>
                  <w:tr w:rsidR="00573D90" w:rsidRPr="00DA5D50">
                    <w:trPr>
                      <w:jc w:val="right"/>
                    </w:trPr>
                    <w:tc>
                      <w:tcPr>
                        <w:tcW w:w="4204" w:type="pct"/>
                        <w:gridSpan w:val="2"/>
                      </w:tcPr>
                      <w:p w:rsidR="00573D90" w:rsidRDefault="00573D90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בסעיף 1 לחוק שירות המדינה (משמעת), התשכ"ג-1963  1(להלן - החוק העיקרי),</w:t>
                        </w:r>
                      </w:p>
                      <w:p w:rsidR="00573D90" w:rsidRDefault="00573D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בסופו יבוא:</w:t>
                        </w:r>
                      </w:p>
                      <w:p w:rsidR="00573D90" w:rsidRDefault="00573D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 "יחידת סמך" - יחידה במשרד שועדת השירות העניקה לה סמכויות מינהליות</w:t>
                        </w:r>
                      </w:p>
                      <w:p w:rsidR="00573D90" w:rsidRPr="00DA5D50" w:rsidRDefault="00573D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משרד, בהתאם לכללים הנהוגים בשירות המדינה."</w:t>
                        </w:r>
                      </w:p>
                    </w:tc>
                    <w:tc>
                      <w:tcPr>
                        <w:tcW w:w="796" w:type="pct"/>
                      </w:tcPr>
                      <w:p w:rsidR="00573D90" w:rsidRPr="00DA5D50" w:rsidRDefault="00573D9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573D90" w:rsidRPr="00DA5D50">
                    <w:trPr>
                      <w:jc w:val="right"/>
                    </w:trPr>
                    <w:tc>
                      <w:tcPr>
                        <w:tcW w:w="4204" w:type="pct"/>
                        <w:gridSpan w:val="2"/>
                      </w:tcPr>
                      <w:p w:rsidR="00573D90" w:rsidRPr="00DA5D50" w:rsidRDefault="00573D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3 לחוק העיקרי -</w:t>
                        </w:r>
                      </w:p>
                    </w:tc>
                    <w:tc>
                      <w:tcPr>
                        <w:tcW w:w="796" w:type="pct"/>
                      </w:tcPr>
                      <w:p w:rsidR="00573D90" w:rsidRPr="00DA5D50" w:rsidRDefault="00573D9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</w:t>
                        </w:r>
                      </w:p>
                    </w:tc>
                  </w:tr>
                  <w:tr w:rsidR="00573D90">
                    <w:trPr>
                      <w:jc w:val="right"/>
                    </w:trPr>
                    <w:tc>
                      <w:tcPr>
                        <w:tcW w:w="4204" w:type="pct"/>
                        <w:gridSpan w:val="2"/>
                      </w:tcPr>
                      <w:p w:rsidR="00573D90" w:rsidRDefault="00573D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בסעיפים קטנים (א) ו-(ב), במקום "ושטרם מלאו להם שבעים שנה" יבוא</w:t>
                        </w:r>
                      </w:p>
                      <w:p w:rsidR="00573D90" w:rsidRDefault="00573D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"שטרם מלאו להם שבעים שנים ושטרם חלפו חמש שנים מיום יציאתם לקצבה";</w:t>
                        </w:r>
                      </w:p>
                      <w:p w:rsidR="00573D90" w:rsidRDefault="00573D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(ד) יבוא:</w:t>
                        </w:r>
                      </w:p>
                      <w:p w:rsidR="00573D90" w:rsidRDefault="00573D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מותר לחזור ולמנות חבר בית הדין שתמה תקופת כהונתו, זולת חבר</w:t>
                        </w:r>
                      </w:p>
                      <w:p w:rsidR="00573D90" w:rsidRPr="00DA5D50" w:rsidRDefault="00573D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שכהונתו נפסקה לפי סעיף 9."</w:t>
                        </w:r>
                      </w:p>
                    </w:tc>
                    <w:tc>
                      <w:tcPr>
                        <w:tcW w:w="796" w:type="pct"/>
                      </w:tcPr>
                      <w:p w:rsidR="00573D90" w:rsidRDefault="00573D9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573D90" w:rsidRPr="00DA5D50">
                    <w:trPr>
                      <w:jc w:val="right"/>
                    </w:trPr>
                    <w:tc>
                      <w:tcPr>
                        <w:tcW w:w="4204" w:type="pct"/>
                        <w:gridSpan w:val="2"/>
                      </w:tcPr>
                      <w:p w:rsidR="00573D90" w:rsidRDefault="00573D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6 לחוק העיקרי, בסופו יבוא:</w:t>
                        </w:r>
                      </w:p>
                    </w:tc>
                    <w:tc>
                      <w:tcPr>
                        <w:tcW w:w="796" w:type="pct"/>
                      </w:tcPr>
                      <w:p w:rsidR="00573D90" w:rsidRPr="00DA5D50" w:rsidRDefault="00573D9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</w:t>
                        </w:r>
                      </w:p>
                    </w:tc>
                  </w:tr>
                  <w:tr w:rsidR="00573D90">
                    <w:trPr>
                      <w:jc w:val="right"/>
                    </w:trPr>
                    <w:tc>
                      <w:tcPr>
                        <w:tcW w:w="4204" w:type="pct"/>
                        <w:gridSpan w:val="2"/>
                      </w:tcPr>
                      <w:p w:rsidR="00573D90" w:rsidRDefault="00573D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נבצר מחבר צוות של בית הדיו, למעט היושב ראש, להשתתף בישיבה, יתקיים</w:t>
                        </w:r>
                      </w:p>
                      <w:p w:rsidR="00573D90" w:rsidRDefault="00573D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הדיון באותה ישיבה לפני שני חברי הצוות הנותרים אם הסכים לכר הנאשם, אלא</w:t>
                        </w:r>
                      </w:p>
                      <w:p w:rsidR="00573D90" w:rsidRDefault="00573D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החליט יושב ראש הצוות לדחות את הדיון.</w:t>
                        </w:r>
                      </w:p>
                      <w:p w:rsidR="00573D90" w:rsidRDefault="00573D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נבצר מחבר צוות של בית הדין לסיים את הדיון, רשאי אב בית הדין למנות</w:t>
                        </w:r>
                      </w:p>
                      <w:p w:rsidR="00573D90" w:rsidRDefault="00573D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במקומו, והצוות רשאי להמשיך בדיון מן השלב שאליו הגיע ההרכב הקודם,</w:t>
                        </w:r>
                      </w:p>
                      <w:p w:rsidR="00573D90" w:rsidRDefault="00573D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ורשאי הוא, לאחר שנתן הזדמנות לבעלי הדין להשמיע טענותיהם לענין זה, לנהוג</w:t>
                        </w:r>
                      </w:p>
                      <w:p w:rsidR="00573D90" w:rsidRDefault="00573D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בראיות שגבה ההרכב הקודם כאילו גבה אותן בעצמו, או לחזור ולגבותן, כולן</w:t>
                        </w:r>
                      </w:p>
                      <w:p w:rsidR="00573D90" w:rsidRDefault="00573D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מקצתן."</w:t>
                        </w:r>
                      </w:p>
                    </w:tc>
                    <w:tc>
                      <w:tcPr>
                        <w:tcW w:w="796" w:type="pct"/>
                      </w:tcPr>
                      <w:p w:rsidR="00573D90" w:rsidRDefault="00573D9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573D90" w:rsidRPr="00DA5D50">
                    <w:trPr>
                      <w:jc w:val="right"/>
                    </w:trPr>
                    <w:tc>
                      <w:tcPr>
                        <w:tcW w:w="4204" w:type="pct"/>
                        <w:gridSpan w:val="2"/>
                      </w:tcPr>
                      <w:p w:rsidR="00573D90" w:rsidRDefault="00573D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במקום סעיף 9 לחוק העיקרי יבוא:</w:t>
                        </w:r>
                      </w:p>
                    </w:tc>
                    <w:tc>
                      <w:tcPr>
                        <w:tcW w:w="796" w:type="pct"/>
                      </w:tcPr>
                      <w:p w:rsidR="00573D90" w:rsidRPr="00DA5D50" w:rsidRDefault="00573D9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9</w:t>
                        </w:r>
                      </w:p>
                    </w:tc>
                  </w:tr>
                  <w:tr w:rsidR="00573D90">
                    <w:trPr>
                      <w:jc w:val="right"/>
                    </w:trPr>
                    <w:tc>
                      <w:tcPr>
                        <w:tcW w:w="3484" w:type="pct"/>
                      </w:tcPr>
                      <w:p w:rsidR="00573D90" w:rsidRDefault="00573D9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(א) כהונתו של חבר בית הדץ תיפסק באחת מאלה:</w:t>
                        </w:r>
                      </w:p>
                      <w:p w:rsidR="00573D90" w:rsidRDefault="00573D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חדל להיות עובד המדינה או עובד גוף מבוקר, שלא</w:t>
                        </w:r>
                      </w:p>
                      <w:p w:rsidR="00573D90" w:rsidRDefault="00573D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מחמת יציאה לקצבה;</w:t>
                        </w:r>
                      </w:p>
                      <w:p w:rsidR="00573D90" w:rsidRDefault="00573D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מלאו לו שבעים שנים;</w:t>
                        </w:r>
                      </w:p>
                      <w:p w:rsidR="00573D90" w:rsidRDefault="00573D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מלאו חמש שנים מיום יציאתו לקצבה.</w:t>
                        </w:r>
                      </w:p>
                      <w:p w:rsidR="00573D90" w:rsidRDefault="00573D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שכהונתו נפסקה רשאי, באישור אב בית הדין, לסיים את</w:t>
                        </w:r>
                      </w:p>
                      <w:p w:rsidR="00573D90" w:rsidRPr="00DA5D50" w:rsidRDefault="00573D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הדיון בענין פלוני שהחל בו לפני הפסקת כהונתו."</w:t>
                        </w:r>
                      </w:p>
                    </w:tc>
                    <w:tc>
                      <w:tcPr>
                        <w:tcW w:w="720" w:type="pct"/>
                      </w:tcPr>
                      <w:p w:rsidR="00573D90" w:rsidRPr="00DA5D50" w:rsidRDefault="00573D9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"הפסקת הכהונה</w:t>
                        </w:r>
                      </w:p>
                    </w:tc>
                    <w:tc>
                      <w:tcPr>
                        <w:tcW w:w="796" w:type="pct"/>
                      </w:tcPr>
                      <w:p w:rsidR="00573D90" w:rsidRDefault="00573D9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573D90" w:rsidRPr="00DA5D50">
                    <w:trPr>
                      <w:jc w:val="right"/>
                    </w:trPr>
                    <w:tc>
                      <w:tcPr>
                        <w:tcW w:w="4204" w:type="pct"/>
                        <w:gridSpan w:val="2"/>
                      </w:tcPr>
                      <w:p w:rsidR="00573D90" w:rsidRDefault="00573D9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בסעיף 25 לחוק העיקרי -</w:t>
                        </w:r>
                      </w:p>
                      <w:p w:rsidR="00573D90" w:rsidRDefault="00573D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פסקה (3) יבוא:</w:t>
                        </w:r>
                      </w:p>
                      <w:p w:rsidR="00573D90" w:rsidRDefault="00573D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הפקעת משכורת בסכום שתקבע הועדה ושלא יעלה על החלק השנים-</w:t>
                        </w:r>
                      </w:p>
                      <w:p w:rsidR="00573D90" w:rsidRPr="00DA5D50" w:rsidRDefault="00573D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 ממשכורתו החדשית של העובד, לתקופה שלא תעלה על ששה חדשים;</w:t>
                        </w:r>
                      </w:p>
                    </w:tc>
                    <w:tc>
                      <w:tcPr>
                        <w:tcW w:w="796" w:type="pct"/>
                      </w:tcPr>
                      <w:p w:rsidR="00573D90" w:rsidRPr="00DA5D50" w:rsidRDefault="00573D9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25</w:t>
                        </w:r>
                      </w:p>
                    </w:tc>
                  </w:tr>
                </w:tbl>
                <w:p w:rsidR="00573D90" w:rsidRDefault="00573D9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4795" o:spid="_x0000_s1028" type="#_x0000_t202" style="position:absolute;left:0;text-align:left;margin-left:117pt;margin-top:70.35pt;width:325.7pt;height:16.45pt;z-index:1;mso-wrap-style:none;mso-position-horizontal-relative:page;mso-position-vertical-relative:page" stroked="f">
            <v:textbox style="mso-next-textbox:#_x0000_s24795" inset="0,0,0,0">
              <w:txbxContent>
                <w:p w:rsidR="00573D90" w:rsidRPr="00DA5D50" w:rsidRDefault="00573D90">
                  <w:pPr>
                    <w:pStyle w:val="OCRStyle1"/>
                    <w:ind w:left="248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שירות המדינה (משמעת) (תיקון מסי 7), התשמ"ג-983ו ?</w:t>
                  </w:r>
                </w:p>
              </w:txbxContent>
            </v:textbox>
            <w10:wrap anchorx="page" anchory="page"/>
          </v:shape>
        </w:pict>
      </w:r>
    </w:p>
    <w:p w:rsidR="00930640" w:rsidRDefault="00930640">
      <w:pPr>
        <w:rPr>
          <w:rtl/>
        </w:rPr>
      </w:pPr>
      <w:r>
        <w:rPr>
          <w:rtl/>
        </w:rPr>
        <w:br w:type="page"/>
      </w:r>
    </w:p>
    <w:p w:rsidR="00930640" w:rsidRDefault="00000000">
      <w:pPr>
        <w:rPr>
          <w:rtl/>
        </w:rPr>
      </w:pPr>
      <w:r>
        <w:pict>
          <v:shape id="_x0000_s24796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4796" inset="0,0,0,0">
              <w:txbxContent>
                <w:p w:rsidR="00573D90" w:rsidRDefault="00573D90">
                  <w:r>
                    <w:rPr>
                      <w:rtl/>
                    </w:rPr>
                    <w:t>33                                          ספר החוקים 1072                   כ"ו בטבת התשמ"ג 11.01.1983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24797" o:spid="_x0000_s1030" type="#_x0000_t202" style="position:absolute;left:0;text-align:left;margin-left:370.55pt;margin-top:712.85pt;width:180pt;height:19.8pt;z-index:6;mso-wrap-style:none;mso-position-horizontal-relative:page;mso-position-vertical-relative:page" stroked="f">
            <v:textbox style="mso-next-textbox:#_x0000_s24797" inset="0,0,0,0">
              <w:txbxContent>
                <w:p w:rsidR="00573D90" w:rsidRDefault="00573D9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4798" o:spid="_x0000_s1031" type="#_x0000_t202" style="position:absolute;left:0;text-align:left;margin-left:87.6pt;margin-top:62.65pt;width:460.35pt;height:640.35pt;z-index:5;mso-wrap-style:none;mso-position-horizontal-relative:page;mso-position-vertical-relative:page" stroked="f">
            <v:textbox style="mso-next-textbox:#_x0000_s24798" inset="0,0,0,0">
              <w:txbxContent>
                <w:tbl>
                  <w:tblPr>
                    <w:tblW w:w="491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36"/>
                    <w:gridCol w:w="5753"/>
                    <w:gridCol w:w="1282"/>
                  </w:tblGrid>
                  <w:tr w:rsidR="00573D90">
                    <w:trPr>
                      <w:jc w:val="right"/>
                    </w:trPr>
                    <w:tc>
                      <w:tcPr>
                        <w:tcW w:w="798" w:type="pct"/>
                      </w:tcPr>
                      <w:p w:rsidR="00573D90" w:rsidRDefault="00573D90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02" w:type="pct"/>
                        <w:gridSpan w:val="2"/>
                      </w:tcPr>
                      <w:p w:rsidR="00573D90" w:rsidRDefault="00573D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פסקה זו, "המשכורת החדשית" - המשכורת הקובעת שלפיה היתה</w:t>
                        </w:r>
                      </w:p>
                      <w:p w:rsidR="00573D90" w:rsidRDefault="00573D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משתלמת קצבתו של העובד אילו יצא לקצבה ביום מתן ההחלטה ;"</w:t>
                        </w:r>
                      </w:p>
                      <w:p w:rsidR="00573D90" w:rsidRDefault="00573D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פסקה (5) - בטלה.</w:t>
                        </w:r>
                      </w:p>
                    </w:tc>
                  </w:tr>
                  <w:tr w:rsidR="00573D90" w:rsidRPr="00930640">
                    <w:trPr>
                      <w:jc w:val="right"/>
                    </w:trPr>
                    <w:tc>
                      <w:tcPr>
                        <w:tcW w:w="798" w:type="pct"/>
                      </w:tcPr>
                      <w:p w:rsidR="00573D90" w:rsidRPr="00930640" w:rsidRDefault="00573D9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31</w:t>
                        </w:r>
                      </w:p>
                    </w:tc>
                    <w:tc>
                      <w:tcPr>
                        <w:tcW w:w="4202" w:type="pct"/>
                        <w:gridSpan w:val="2"/>
                      </w:tcPr>
                      <w:p w:rsidR="00573D90" w:rsidRPr="00930640" w:rsidRDefault="00573D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במקום סעיף 31 לחוק העיקרי יבוא:</w:t>
                        </w:r>
                      </w:p>
                    </w:tc>
                  </w:tr>
                  <w:tr w:rsidR="00573D90" w:rsidRPr="00930640">
                    <w:trPr>
                      <w:jc w:val="right"/>
                    </w:trPr>
                    <w:tc>
                      <w:tcPr>
                        <w:tcW w:w="798" w:type="pct"/>
                      </w:tcPr>
                      <w:p w:rsidR="00573D90" w:rsidRDefault="00573D90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36" w:type="pct"/>
                      </w:tcPr>
                      <w:p w:rsidR="00573D90" w:rsidRDefault="00573D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31. (א) שר או מנהל כללי רשאים, בשל מעשה או מחדל של עובד</w:t>
                        </w:r>
                      </w:p>
                      <w:p w:rsidR="00573D90" w:rsidRDefault="00573D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שיש בהם משום עבירת משמעת, לנקוט כלפי העובד באחת מאלה;</w:t>
                        </w:r>
                      </w:p>
                      <w:p w:rsidR="00573D90" w:rsidRDefault="00573D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התראה;</w:t>
                        </w:r>
                      </w:p>
                      <w:p w:rsidR="00573D90" w:rsidRDefault="00573D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נזיפה.</w:t>
                        </w:r>
                      </w:p>
                      <w:p w:rsidR="00573D90" w:rsidRDefault="00573D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או מנהל כללי לא ינקטו באמצעי כאמור אלא לאחר שניתנה</w:t>
                        </w:r>
                      </w:p>
                      <w:p w:rsidR="00573D90" w:rsidRDefault="00573D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לעובד הזדמנות להביא טענותיו לפניהם או לפני מי שהם הסמיכו לכך.</w:t>
                        </w:r>
                      </w:p>
                      <w:p w:rsidR="00573D90" w:rsidRDefault="00573D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אמצעי כאמור בסעיף זה לא ייחשב כאמצעי משמעת לענין</w:t>
                        </w:r>
                      </w:p>
                      <w:p w:rsidR="00573D90" w:rsidRDefault="00573D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62."</w:t>
                        </w:r>
                      </w:p>
                    </w:tc>
                    <w:tc>
                      <w:tcPr>
                        <w:tcW w:w="766" w:type="pct"/>
                      </w:tcPr>
                      <w:p w:rsidR="00573D90" w:rsidRDefault="00573D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"סמכות שי שר</w:t>
                        </w:r>
                      </w:p>
                      <w:p w:rsidR="00573D90" w:rsidRPr="00930640" w:rsidRDefault="00573D9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או מנהל כללי</w:t>
                        </w:r>
                      </w:p>
                    </w:tc>
                  </w:tr>
                  <w:tr w:rsidR="00573D90" w:rsidRPr="00930640">
                    <w:trPr>
                      <w:jc w:val="right"/>
                    </w:trPr>
                    <w:tc>
                      <w:tcPr>
                        <w:tcW w:w="798" w:type="pct"/>
                      </w:tcPr>
                      <w:p w:rsidR="00573D90" w:rsidRPr="00930640" w:rsidRDefault="00573D9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32</w:t>
                        </w:r>
                      </w:p>
                    </w:tc>
                    <w:tc>
                      <w:tcPr>
                        <w:tcW w:w="4202" w:type="pct"/>
                        <w:gridSpan w:val="2"/>
                      </w:tcPr>
                      <w:p w:rsidR="00573D90" w:rsidRPr="00930640" w:rsidRDefault="00573D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במקום סעיף 32 לחוק העיקרי יבוא:</w:t>
                        </w:r>
                      </w:p>
                    </w:tc>
                  </w:tr>
                  <w:tr w:rsidR="00573D90" w:rsidRPr="00930640">
                    <w:trPr>
                      <w:jc w:val="right"/>
                    </w:trPr>
                    <w:tc>
                      <w:tcPr>
                        <w:tcW w:w="798" w:type="pct"/>
                      </w:tcPr>
                      <w:p w:rsidR="00573D90" w:rsidRDefault="00573D90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36" w:type="pct"/>
                      </w:tcPr>
                      <w:p w:rsidR="00573D90" w:rsidRDefault="00573D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32. שר, נציב השירות, היועץ המשפטי לממשלה, מנהל כללי וסגנו</w:t>
                        </w:r>
                      </w:p>
                      <w:p w:rsidR="00573D90" w:rsidRDefault="00573D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לעניני מינהל ומנהל יחידת סמר רשאים להגיש לתובע קובלנה על</w:t>
                        </w:r>
                      </w:p>
                      <w:p w:rsidR="00573D90" w:rsidRDefault="00573D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עבירת משמעת שעבר עובד המדינה, הן ביזמתם הם והן על פי תלונה</w:t>
                        </w:r>
                      </w:p>
                      <w:p w:rsidR="00573D90" w:rsidRDefault="00573D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שהוגשה להם."</w:t>
                        </w:r>
                      </w:p>
                    </w:tc>
                    <w:tc>
                      <w:tcPr>
                        <w:tcW w:w="766" w:type="pct"/>
                      </w:tcPr>
                      <w:p w:rsidR="00573D90" w:rsidRPr="00930640" w:rsidRDefault="00573D9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"קובלנה</w:t>
                        </w:r>
                      </w:p>
                    </w:tc>
                  </w:tr>
                  <w:tr w:rsidR="00573D90" w:rsidRPr="00930640">
                    <w:trPr>
                      <w:jc w:val="right"/>
                    </w:trPr>
                    <w:tc>
                      <w:tcPr>
                        <w:tcW w:w="798" w:type="pct"/>
                      </w:tcPr>
                      <w:p w:rsidR="00573D90" w:rsidRPr="00930640" w:rsidRDefault="00573D9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34</w:t>
                        </w:r>
                      </w:p>
                    </w:tc>
                    <w:tc>
                      <w:tcPr>
                        <w:tcW w:w="4202" w:type="pct"/>
                        <w:gridSpan w:val="2"/>
                      </w:tcPr>
                      <w:p w:rsidR="00573D90" w:rsidRDefault="00573D9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בסעיף 34 לחוק העיקרי-</w:t>
                        </w:r>
                      </w:p>
                      <w:p w:rsidR="00573D90" w:rsidRDefault="00573D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פסקה (3) - בטלה;</w:t>
                        </w:r>
                      </w:p>
                      <w:p w:rsidR="00573D90" w:rsidRDefault="00573D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פסקה (5) יבוא:</w:t>
                        </w:r>
                      </w:p>
                      <w:p w:rsidR="00573D90" w:rsidRDefault="00573D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"(5) הפקעת משכורת בסכום שיקבע בית הדין ושלא יעלה על החלק הששי</w:t>
                        </w:r>
                      </w:p>
                      <w:p w:rsidR="00573D90" w:rsidRDefault="00573D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ממשכורתו החדשית של העובד, לתקופה שלא תעלה על ששה חדשים;</w:t>
                        </w:r>
                      </w:p>
                      <w:p w:rsidR="00573D90" w:rsidRDefault="00573D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פסקה זו, "המשכורת החדשית" - המשכורת הקובעת שלפיה היתה</w:t>
                        </w:r>
                      </w:p>
                      <w:p w:rsidR="00573D90" w:rsidRPr="00930640" w:rsidRDefault="00573D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משתלמת קצבתו של העובד אילו יצא לקצבה ביום מתן ההחלטה ;"</w:t>
                        </w:r>
                      </w:p>
                    </w:tc>
                  </w:tr>
                  <w:tr w:rsidR="00573D90" w:rsidRPr="00930640">
                    <w:trPr>
                      <w:jc w:val="right"/>
                    </w:trPr>
                    <w:tc>
                      <w:tcPr>
                        <w:tcW w:w="798" w:type="pct"/>
                      </w:tcPr>
                      <w:p w:rsidR="00573D90" w:rsidRPr="00930640" w:rsidRDefault="00573D9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44</w:t>
                        </w:r>
                      </w:p>
                    </w:tc>
                    <w:tc>
                      <w:tcPr>
                        <w:tcW w:w="4202" w:type="pct"/>
                        <w:gridSpan w:val="2"/>
                        <w:vMerge w:val="restart"/>
                      </w:tcPr>
                      <w:p w:rsidR="00573D90" w:rsidRDefault="00573D9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בסעיף 44(א) לחוק העיקרי, במקום "ועדה רפואית שתמנה ועדת השירות" יבוא</w:t>
                        </w:r>
                      </w:p>
                      <w:p w:rsidR="00573D90" w:rsidRDefault="00573D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"רופא ממשלתי או ועדה של רופאים כאמור בסעיף 29(א) לחוק המינויים".</w:t>
                        </w:r>
                      </w:p>
                      <w:p w:rsidR="00573D90" w:rsidRDefault="00573D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בסעיף 48 לחוק העיקרי, בסופו יבוא "השר רשאי להאריך את תקופת ההשעיה</w:t>
                        </w:r>
                      </w:p>
                      <w:p w:rsidR="00573D90" w:rsidRDefault="00573D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לתקופה שלא תעלה בסיכום על שלושים ימים; סמכויות השר לפי סעיף זה נתונות</w:t>
                        </w:r>
                      </w:p>
                      <w:p w:rsidR="00573D90" w:rsidRPr="00930640" w:rsidRDefault="00573D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גם למנהל הכללי של משרדו."</w:t>
                        </w:r>
                      </w:p>
                    </w:tc>
                  </w:tr>
                  <w:tr w:rsidR="00573D90">
                    <w:trPr>
                      <w:jc w:val="right"/>
                    </w:trPr>
                    <w:tc>
                      <w:tcPr>
                        <w:tcW w:w="798" w:type="pct"/>
                      </w:tcPr>
                      <w:p w:rsidR="00573D90" w:rsidRPr="00930640" w:rsidRDefault="00573D9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48</w:t>
                        </w:r>
                      </w:p>
                    </w:tc>
                    <w:tc>
                      <w:tcPr>
                        <w:tcW w:w="4202" w:type="pct"/>
                        <w:gridSpan w:val="2"/>
                        <w:vMerge/>
                      </w:tcPr>
                      <w:p w:rsidR="00573D90" w:rsidRDefault="00573D90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573D90">
                    <w:trPr>
                      <w:jc w:val="right"/>
                    </w:trPr>
                    <w:tc>
                      <w:tcPr>
                        <w:tcW w:w="798" w:type="pct"/>
                      </w:tcPr>
                      <w:p w:rsidR="00573D90" w:rsidRPr="00930640" w:rsidRDefault="00573D9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50</w:t>
                        </w:r>
                      </w:p>
                    </w:tc>
                    <w:tc>
                      <w:tcPr>
                        <w:tcW w:w="3436" w:type="pct"/>
                      </w:tcPr>
                      <w:p w:rsidR="00573D90" w:rsidRPr="00930640" w:rsidRDefault="00573D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50 לחוק העיקרי, המלים "ומשכורתו אינה משתלמת לו במלואה" - יימחקו.</w:t>
                        </w:r>
                      </w:p>
                    </w:tc>
                    <w:tc>
                      <w:tcPr>
                        <w:tcW w:w="766" w:type="pct"/>
                      </w:tcPr>
                      <w:p w:rsidR="00573D90" w:rsidRDefault="00573D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בסעיף</w:t>
                        </w:r>
                      </w:p>
                    </w:tc>
                  </w:tr>
                  <w:tr w:rsidR="00573D90" w:rsidRPr="00930640">
                    <w:trPr>
                      <w:jc w:val="right"/>
                    </w:trPr>
                    <w:tc>
                      <w:tcPr>
                        <w:tcW w:w="798" w:type="pct"/>
                      </w:tcPr>
                      <w:p w:rsidR="00573D90" w:rsidRPr="00930640" w:rsidRDefault="00573D9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תוססת סעיף 61ג</w:t>
                        </w:r>
                      </w:p>
                    </w:tc>
                    <w:tc>
                      <w:tcPr>
                        <w:tcW w:w="3436" w:type="pct"/>
                      </w:tcPr>
                      <w:p w:rsidR="00573D90" w:rsidRDefault="00573D9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עיף 61ב לחוק העיקרי יבוא:</w:t>
                        </w:r>
                      </w:p>
                      <w:p w:rsidR="00573D90" w:rsidRDefault="00573D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61ג. המימצאים והמסקנות של פסק דין חלוט במשפט פלילי שנוהל נגד</w:t>
                        </w:r>
                      </w:p>
                      <w:p w:rsidR="00573D90" w:rsidRPr="00930640" w:rsidRDefault="00573D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יראו אותם כמוכחים בדיון נגד אותו אדם לפני בית הדין למשמעת."</w:t>
                        </w:r>
                      </w:p>
                    </w:tc>
                    <w:tc>
                      <w:tcPr>
                        <w:tcW w:w="766" w:type="pct"/>
                      </w:tcPr>
                      <w:p w:rsidR="00573D90" w:rsidRDefault="00573D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אחרי ס</w:t>
                        </w:r>
                      </w:p>
                      <w:p w:rsidR="00573D90" w:rsidRDefault="00573D9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''פסק דיו</w:t>
                        </w:r>
                      </w:p>
                      <w:p w:rsidR="00573D90" w:rsidRPr="00930640" w:rsidRDefault="00573D9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במשפט פלילי</w:t>
                        </w:r>
                      </w:p>
                    </w:tc>
                  </w:tr>
                </w:tbl>
                <w:p w:rsidR="00573D90" w:rsidRDefault="00573D9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573D90" w:rsidRDefault="00573D90">
      <w:pPr>
        <w:rPr>
          <w:rtl/>
        </w:rPr>
      </w:pPr>
      <w:r>
        <w:rPr>
          <w:rtl/>
        </w:rPr>
        <w:br w:type="page"/>
      </w:r>
    </w:p>
    <w:p w:rsidR="00573D90" w:rsidRDefault="00000000">
      <w:pPr>
        <w:rPr>
          <w:rtl/>
        </w:rPr>
      </w:pPr>
      <w:r>
        <w:pict>
          <v:shape id="_x0000_s24799" o:spid="_x0000_s1032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24799" inset="0,0,0,0">
              <w:txbxContent>
                <w:p w:rsidR="00573D90" w:rsidRDefault="00573D90">
                  <w:r>
                    <w:rPr>
                      <w:rtl/>
                    </w:rPr>
                    <w:t>34                                          ספר החוקים 1072                   כ"ו בטבת התשמ"ג 11.01.1983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24800" o:spid="_x0000_s1033" type="#_x0000_t202" style="position:absolute;left:0;text-align:left;margin-left:82.15pt;margin-top:696.8pt;width:306.9pt;height:36.45pt;z-index:13;mso-wrap-style:none;mso-position-horizontal-relative:page;mso-position-vertical-relative:page" stroked="f">
            <v:textbox style="mso-next-textbox:#_x0000_s24800" inset="0,0,0,0">
              <w:txbxContent>
                <w:p w:rsidR="00573D90" w:rsidRDefault="00573D90">
                  <w:pPr>
                    <w:pStyle w:val="OCRStyle3"/>
                    <w:rPr>
                      <w:rtl/>
                    </w:rPr>
                  </w:pPr>
                </w:p>
                <w:p w:rsidR="00573D90" w:rsidRPr="00573D90" w:rsidRDefault="00573D90">
                  <w:pPr>
                    <w:pStyle w:val="OCRStyle3"/>
                    <w:ind w:left="540"/>
                  </w:pPr>
                  <w:r>
                    <w:rPr>
                      <w:sz w:val="18"/>
                      <w:szCs w:val="18"/>
                      <w:rtl/>
                    </w:rPr>
                    <w:t xml:space="preserve">2832-0334 </w:t>
                  </w:r>
                  <w:r>
                    <w:rPr>
                      <w:sz w:val="18"/>
                      <w:szCs w:val="18"/>
                    </w:rPr>
                    <w:t>ISSN</w:t>
                  </w:r>
                  <w:r>
                    <w:rPr>
                      <w:sz w:val="18"/>
                      <w:szCs w:val="18"/>
                      <w:rtl/>
                    </w:rPr>
                    <w:t xml:space="preserve"> נדפס בדפוס הממשלה,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4801" o:spid="_x0000_s1034" type="#_x0000_t202" style="position:absolute;left:0;text-align:left;margin-left:272.8pt;margin-top:573.05pt;width:200.55pt;height:44.55pt;z-index:12;mso-wrap-style:none;mso-position-horizontal-relative:page;mso-position-vertical-relative:page" stroked="f">
            <v:textbox style="mso-next-textbox:#_x0000_s24801" inset="0,0,0,0">
              <w:txbxContent>
                <w:p w:rsidR="00573D90" w:rsidRPr="00573D90" w:rsidRDefault="00573D90">
                  <w:pPr>
                    <w:pStyle w:val="OCRStyle3"/>
                    <w:ind w:left="83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2 ס"ח התשי"ט, עמ' 86; התשכ"ג, עמ' 110.</w:t>
                  </w:r>
                </w:p>
              </w:txbxContent>
            </v:textbox>
            <w10:wrap anchorx="page" anchory="page"/>
          </v:shape>
        </w:pict>
      </w:r>
      <w:r>
        <w:pict>
          <v:shape id="_x0000_s24802" o:spid="_x0000_s1035" type="#_x0000_t202" style="position:absolute;left:0;text-align:left;margin-left:112.45pt;margin-top:482.95pt;width:91.3pt;height:42.55pt;z-index:11;mso-wrap-style:none;mso-position-horizontal-relative:page;mso-position-vertical-relative:page" stroked="f">
            <v:textbox style="mso-next-textbox:#_x0000_s24802" inset="0,0,0,0">
              <w:txbxContent>
                <w:p w:rsidR="00573D90" w:rsidRDefault="00573D90">
                  <w:pPr>
                    <w:pStyle w:val="OCRStyle3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יורם ארידור</w:t>
                  </w:r>
                </w:p>
                <w:p w:rsidR="00573D90" w:rsidRDefault="00573D90">
                  <w:pPr>
                    <w:pStyle w:val="OCRStyle3"/>
                    <w:ind w:left="446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4803" o:spid="_x0000_s1036" type="#_x0000_t202" style="position:absolute;left:0;text-align:left;margin-left:231.05pt;margin-top:483.75pt;width:99.4pt;height:44.95pt;z-index:10;mso-wrap-style:none;mso-position-horizontal-relative:page;mso-position-vertical-relative:page" stroked="f">
            <v:textbox style="mso-next-textbox:#_x0000_s24803" inset="0,0,0,0">
              <w:txbxContent>
                <w:p w:rsidR="00573D90" w:rsidRDefault="00573D90">
                  <w:pPr>
                    <w:pStyle w:val="OCRStyle3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573D90" w:rsidRDefault="00573D90">
                  <w:pPr>
                    <w:pStyle w:val="OCRStyle3"/>
                    <w:ind w:left="29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804" o:spid="_x0000_s1037" type="#_x0000_t202" style="position:absolute;left:0;text-align:left;margin-left:337.15pt;margin-top:521.15pt;width:145.15pt;height:45.35pt;z-index:9;mso-wrap-style:none;mso-position-horizontal-relative:page;mso-position-vertical-relative:page" stroked="f">
            <v:textbox style="mso-next-textbox:#_x0000_s24804" inset="0,0,0,0">
              <w:txbxContent>
                <w:p w:rsidR="00573D90" w:rsidRDefault="00573D90">
                  <w:pPr>
                    <w:pStyle w:val="OCRStyle3"/>
                    <w:ind w:left="526"/>
                    <w:rPr>
                      <w:rtl/>
                    </w:rPr>
                  </w:pPr>
                  <w:r>
                    <w:rPr>
                      <w:rtl/>
                    </w:rPr>
                    <w:t>מנחם סבידור</w:t>
                  </w:r>
                </w:p>
                <w:p w:rsidR="00573D90" w:rsidRDefault="00573D90">
                  <w:pPr>
                    <w:pStyle w:val="OCRStyle3"/>
                    <w:ind w:left="594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573D90" w:rsidRDefault="00573D90">
                  <w:pPr>
                    <w:pStyle w:val="OCRStyle3"/>
                    <w:ind w:left="295"/>
                  </w:pPr>
                  <w:r>
                    <w:rPr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805" o:spid="_x0000_s1038" type="#_x0000_t202" style="position:absolute;left:0;text-align:left;margin-left:88.85pt;margin-top:62.4pt;width:470.25pt;height:407.5pt;z-index:8;mso-wrap-style:none;mso-position-horizontal-relative:page;mso-position-vertical-relative:page" stroked="f">
            <v:textbox style="mso-next-textbox:#_x0000_s24805" inset="0,0,0,0">
              <w:txbxContent>
                <w:tbl>
                  <w:tblPr>
                    <w:tblW w:w="501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89"/>
                    <w:gridCol w:w="1228"/>
                    <w:gridCol w:w="1433"/>
                  </w:tblGrid>
                  <w:tr w:rsidR="00573D90" w:rsidRPr="00573D90">
                    <w:trPr>
                      <w:jc w:val="right"/>
                    </w:trPr>
                    <w:tc>
                      <w:tcPr>
                        <w:tcW w:w="4162" w:type="pct"/>
                        <w:gridSpan w:val="2"/>
                      </w:tcPr>
                      <w:p w:rsidR="00573D90" w:rsidRDefault="00573D9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בסעיף 62 לחוק העיקרי, בסופו יבוא "ולא ינקטו הליכים משמעתיים נגד עובד בשל</w:t>
                        </w:r>
                      </w:p>
                      <w:p w:rsidR="00573D90" w:rsidRDefault="00573D9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עבירת משמעת שממנה זוכה בהליך לפי חוק זה".</w:t>
                        </w:r>
                      </w:p>
                    </w:tc>
                    <w:tc>
                      <w:tcPr>
                        <w:tcW w:w="838" w:type="pct"/>
                      </w:tcPr>
                      <w:p w:rsidR="00573D90" w:rsidRPr="00573D90" w:rsidRDefault="00573D9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62</w:t>
                        </w:r>
                      </w:p>
                    </w:tc>
                  </w:tr>
                  <w:tr w:rsidR="00573D90" w:rsidRPr="00573D90">
                    <w:trPr>
                      <w:jc w:val="right"/>
                    </w:trPr>
                    <w:tc>
                      <w:tcPr>
                        <w:tcW w:w="4162" w:type="pct"/>
                        <w:gridSpan w:val="2"/>
                      </w:tcPr>
                      <w:p w:rsidR="00573D90" w:rsidRDefault="00573D9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14, בסעיף 64 לחוק העיקרי, אחרי "למנהל הכללי" יבוא "או לסגנו לעניני מינהל,</w:t>
                        </w:r>
                      </w:p>
                      <w:p w:rsidR="00573D90" w:rsidRPr="00573D90" w:rsidRDefault="00573D9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למנהל יחידת סמך או לסגנו לעניני מינהל".</w:t>
                        </w:r>
                      </w:p>
                    </w:tc>
                    <w:tc>
                      <w:tcPr>
                        <w:tcW w:w="838" w:type="pct"/>
                      </w:tcPr>
                      <w:p w:rsidR="00573D90" w:rsidRPr="00573D90" w:rsidRDefault="00573D9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64</w:t>
                        </w:r>
                      </w:p>
                    </w:tc>
                  </w:tr>
                  <w:tr w:rsidR="00573D90" w:rsidRPr="00573D90">
                    <w:trPr>
                      <w:jc w:val="right"/>
                    </w:trPr>
                    <w:tc>
                      <w:tcPr>
                        <w:tcW w:w="4162" w:type="pct"/>
                        <w:gridSpan w:val="2"/>
                      </w:tcPr>
                      <w:p w:rsidR="00573D90" w:rsidRPr="00573D90" w:rsidRDefault="00573D9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בסעיף 71 לחוק העיקרי, סעיף קטן (א) - בטל.</w:t>
                        </w:r>
                      </w:p>
                    </w:tc>
                    <w:tc>
                      <w:tcPr>
                        <w:tcW w:w="838" w:type="pct"/>
                      </w:tcPr>
                      <w:p w:rsidR="00573D90" w:rsidRPr="00573D90" w:rsidRDefault="00573D9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71</w:t>
                        </w:r>
                      </w:p>
                    </w:tc>
                  </w:tr>
                  <w:tr w:rsidR="00573D90" w:rsidRPr="00573D90">
                    <w:trPr>
                      <w:jc w:val="right"/>
                    </w:trPr>
                    <w:tc>
                      <w:tcPr>
                        <w:tcW w:w="4162" w:type="pct"/>
                        <w:gridSpan w:val="2"/>
                      </w:tcPr>
                      <w:p w:rsidR="00573D90" w:rsidRDefault="00573D9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בסעיף 72 לחוק העיקרי, במקום "למעט הפרק השני, וכן הסמכויות לסי הסעיפים</w:t>
                        </w:r>
                      </w:p>
                      <w:p w:rsidR="00573D90" w:rsidRPr="00573D90" w:rsidRDefault="00573D9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 ו- 21" יבוא "למעט הסרק השני וסעיף 19 (ב)".</w:t>
                        </w:r>
                      </w:p>
                    </w:tc>
                    <w:tc>
                      <w:tcPr>
                        <w:tcW w:w="838" w:type="pct"/>
                      </w:tcPr>
                      <w:p w:rsidR="00573D90" w:rsidRPr="00573D90" w:rsidRDefault="00573D9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72</w:t>
                        </w:r>
                      </w:p>
                    </w:tc>
                  </w:tr>
                  <w:tr w:rsidR="00573D90" w:rsidRPr="00573D90">
                    <w:trPr>
                      <w:jc w:val="right"/>
                    </w:trPr>
                    <w:tc>
                      <w:tcPr>
                        <w:tcW w:w="4162" w:type="pct"/>
                        <w:gridSpan w:val="2"/>
                      </w:tcPr>
                      <w:p w:rsidR="00573D90" w:rsidRPr="00573D90" w:rsidRDefault="00573D9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במקום סעיף 46 לחוק שירות המדינה (מינויים), התשי"ט-1959 2 יבוא:</w:t>
                        </w:r>
                      </w:p>
                    </w:tc>
                    <w:tc>
                      <w:tcPr>
                        <w:tcW w:w="838" w:type="pct"/>
                        <w:vMerge w:val="restart"/>
                      </w:tcPr>
                      <w:p w:rsidR="00573D90" w:rsidRDefault="00573D9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</w:t>
                        </w:r>
                      </w:p>
                      <w:p w:rsidR="00573D90" w:rsidRDefault="00573D9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שירות המדינה</w:t>
                        </w:r>
                      </w:p>
                      <w:p w:rsidR="00573D90" w:rsidRPr="00573D90" w:rsidRDefault="00573D9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(מינויים)</w:t>
                        </w:r>
                      </w:p>
                    </w:tc>
                  </w:tr>
                  <w:tr w:rsidR="00573D90">
                    <w:trPr>
                      <w:jc w:val="right"/>
                    </w:trPr>
                    <w:tc>
                      <w:tcPr>
                        <w:tcW w:w="3444" w:type="pct"/>
                      </w:tcPr>
                      <w:p w:rsidR="00573D90" w:rsidRDefault="00573D9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46. (א) על אף האמור בחוק זה, רשאי נציב השירות שלא למנות אדם</w:t>
                        </w:r>
                      </w:p>
                      <w:p w:rsidR="00573D90" w:rsidRDefault="00573D9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 המדינה, בכל אחד מאלה:</w:t>
                        </w:r>
                      </w:p>
                      <w:p w:rsidR="00573D90" w:rsidRDefault="00573D9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האדם עבר עבירה על חוק זה כדי להשיג את המינוי או</w:t>
                        </w:r>
                      </w:p>
                      <w:p w:rsidR="00573D90" w:rsidRDefault="00573D9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בעל עבר פלילי ;</w:t>
                        </w:r>
                      </w:p>
                      <w:p w:rsidR="00573D90" w:rsidRDefault="00573D9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האדם פוטר על פי החלטה בהליך משמעתי שנערך לפי</w:t>
                        </w:r>
                      </w:p>
                      <w:p w:rsidR="00573D90" w:rsidRDefault="00573D9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חיקוק; ואם מינה אדם כאמור, רשאי הוא לבטל את המינוי.</w:t>
                        </w:r>
                      </w:p>
                      <w:p w:rsidR="00573D90" w:rsidRDefault="00573D9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החלטת נציב השירות לפי סעיף קטן (א) טעונה אישור ועדת</w:t>
                        </w:r>
                      </w:p>
                      <w:p w:rsidR="00573D90" w:rsidRPr="00573D90" w:rsidRDefault="00573D9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השירות."</w:t>
                        </w:r>
                      </w:p>
                    </w:tc>
                    <w:tc>
                      <w:tcPr>
                        <w:tcW w:w="718" w:type="pct"/>
                      </w:tcPr>
                      <w:p w:rsidR="00573D90" w:rsidRDefault="00573D9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''סמכות למנוע</w:t>
                        </w:r>
                      </w:p>
                      <w:p w:rsidR="00573D90" w:rsidRPr="00573D90" w:rsidRDefault="00573D9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מינויים מסויימים</w:t>
                        </w:r>
                      </w:p>
                    </w:tc>
                    <w:tc>
                      <w:tcPr>
                        <w:tcW w:w="838" w:type="pct"/>
                        <w:vMerge/>
                      </w:tcPr>
                      <w:p w:rsidR="00573D90" w:rsidRDefault="00573D90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573D90" w:rsidRPr="00573D90">
                    <w:trPr>
                      <w:jc w:val="right"/>
                    </w:trPr>
                    <w:tc>
                      <w:tcPr>
                        <w:tcW w:w="4162" w:type="pct"/>
                        <w:gridSpan w:val="2"/>
                      </w:tcPr>
                      <w:p w:rsidR="00573D90" w:rsidRDefault="00573D9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(א) חבר בית הדין שפרש מן השירות ומונה לפני תחילתו של חוק זה, ימשיך</w:t>
                        </w:r>
                      </w:p>
                      <w:p w:rsidR="00573D90" w:rsidRDefault="00573D9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לכהן כחבר בית הדין עד תום תקופת מינויו, אף אם מלאו חמש שנים מיום יציאתו לקצבה,</w:t>
                        </w:r>
                      </w:p>
                      <w:p w:rsidR="00573D90" w:rsidRDefault="00573D9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עוד לא מלאו לו שבעים שנים.</w:t>
                        </w:r>
                      </w:p>
                      <w:p w:rsidR="00573D90" w:rsidRDefault="00573D9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לגבי נושאי המשרה שנוספו לסעיף 64 לחוק העיקרי על פי חוק זה, לא תבוא</w:t>
                        </w:r>
                      </w:p>
                      <w:p w:rsidR="00573D90" w:rsidRPr="00573D90" w:rsidRDefault="00573D9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במנין התקופה הנזכרת בסעיף האמור כל תקופה שקדמה לתחילתו של חוק זה.</w:t>
                        </w:r>
                      </w:p>
                    </w:tc>
                    <w:tc>
                      <w:tcPr>
                        <w:tcW w:w="838" w:type="pct"/>
                      </w:tcPr>
                      <w:p w:rsidR="00573D90" w:rsidRPr="00573D90" w:rsidRDefault="00573D9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</w:tc>
                  </w:tr>
                </w:tbl>
                <w:p w:rsidR="00573D90" w:rsidRDefault="00573D90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A5D5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A5D5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D0F0052-E02E-4AD1-B986-C6173B81F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A5D50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930640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573D90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4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2008-04-07T01:22:00Z</dcterms:created>
  <dcterms:modified xsi:type="dcterms:W3CDTF">2008-04-07T01:22:00Z</dcterms:modified>
</cp:coreProperties>
</file>