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52E9" w:rsidRDefault="00C152E9">
      <w:pPr>
        <w:rPr>
          <w:rtl/>
        </w:rPr>
      </w:pPr>
    </w:p>
    <w:p w:rsidR="00C152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98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987" inset="0,0,0,0">
              <w:txbxContent>
                <w:p w:rsidR="00791E89" w:rsidRDefault="00791E89">
                  <w:r>
                    <w:rPr>
                      <w:rtl/>
                    </w:rPr>
                    <w:t>144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88" o:spid="_x0000_s1026" type="#_x0000_t202" style="position:absolute;left:0;text-align:left;margin-left:84.75pt;margin-top:691.35pt;width:379.15pt;height:69.7pt;z-index:3;mso-position-horizontal-relative:page;mso-position-vertical-relative:page" stroked="f">
            <v:textbox style="mso-next-textbox:#_x0000_s24988" inset="0,0,0,0">
              <w:txbxContent>
                <w:p w:rsidR="00791E89" w:rsidRDefault="00791E89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בתמוז תשכ"ט (23 ביוני 1969); הצעת החוק ודברי הסבר פורסמו גה"ת 772, תשכ''ה,</w:t>
                  </w:r>
                </w:p>
                <w:p w:rsidR="00791E89" w:rsidRPr="00C152E9" w:rsidRDefault="00791E89">
                  <w:pPr>
                    <w:pStyle w:val="OCRStyle1"/>
                    <w:ind w:left="37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206.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89" o:spid="_x0000_s1027" type="#_x0000_t202" style="position:absolute;left:0;text-align:left;margin-left:82.95pt;margin-top:118.15pt;width:468.65pt;height:567.45pt;z-index:2;mso-position-horizontal-relative:page;mso-position-vertical-relative:page" stroked="f">
            <v:textbox style="mso-next-textbox:#_x0000_s24989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9"/>
                    <w:gridCol w:w="1434"/>
                  </w:tblGrid>
                  <w:tr w:rsidR="00791E89" w:rsidRPr="00C152E9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791E89" w:rsidRDefault="00791E89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הציבור" - שירות המדינה או שירות ברשות מקומית, במועצה דתית או בכל גוף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שפורט בתוספת;</w:t>
                        </w:r>
                      </w:p>
                      <w:p w:rsidR="00791E89" w:rsidRPr="00C152E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הורה, צאצא, אח או בן-זוג, וכן הורה, צאצא או אח של בן-הזוג.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791E89" w:rsidRPr="00C152E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791E89" w:rsidRPr="00C152E9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מי שטיפל, אגב מילוי תפקידו בשירות הציבור, בענין פלוני של אדם פלוני, לא ייצג</w:t>
                        </w:r>
                      </w:p>
                      <w:p w:rsidR="00791E89" w:rsidRPr="00C152E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פרישתו מהשירות את האדם באותו ענין כלפי המוסד של שירות הציבור שבו שירת.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הייצוג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בענין שהיה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בטיפול של</w:t>
                        </w:r>
                      </w:p>
                      <w:p w:rsidR="00791E89" w:rsidRPr="00C152E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המייצג</w:t>
                        </w:r>
                      </w:p>
                    </w:tc>
                  </w:tr>
                  <w:tr w:rsidR="00791E89" w:rsidRPr="00C152E9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מי שפרש משירות הציבור וערב פרישתו היה נמנה עם סוג עובדים ששר המשפטים,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של הכנסת, קבע כתקנות לענין חוק זה בהתחשב עם אופי תפקידם -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ייצג אדם לפני עובד בשירות הציבור שהיה כפוף לו ערב פרישתו, ולא יבקש ממנו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להעניק זכות לו עצמו ולצורך עסקו, בין בהסכם ובין כמעשה של רשות, כשההענקה מסורה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לשיקול דעתו של אותו עובד; והוא, כל עוד לא עברה שנה אחת מהיום שבו פסקו יחסי</w:t>
                        </w:r>
                      </w:p>
                      <w:p w:rsidR="00791E89" w:rsidRPr="00C152E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הכפיפות.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הייצוג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לפני מי שהיה</w:t>
                        </w:r>
                      </w:p>
                      <w:p w:rsidR="00791E89" w:rsidRPr="00C152E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כפוף למייצג</w:t>
                        </w:r>
                      </w:p>
                    </w:tc>
                  </w:tr>
                  <w:tr w:rsidR="00791E89" w:rsidRPr="00C152E9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מי שפרש משירות הציבור ובתפקידו בשירות הציבור היה מוסמך להחליט על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שיקול דעתו על הענקת זכות לאחר, או להמליץ על הענקת זכות כאמור, או שהיה ממונה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עובד אחר בשירות הציבור המוסמך כאמור, לא יקבל זכות מאדם שנזקק במהלך עסקיו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להחלטתו בתהום הסמכות האמורה.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אין נפקא מינה -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העובד שפרש היה מוסמך לבדו או ביחד עם אחרים;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ההחלטה או ההמלצה היא על הענקת זכות או על קביעתה;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ההחלטה היתה דרך הסכם או כמעשה של רשותן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הזכות שקיבל העובד שפרש היא משרת שכיר בשירותו של האדם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נזקק להחלטה או להמלצה, או שלא בשכיר אלא בדרך של התקשרות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אותו אדם לשירות לתקופה מסויימת או בלתי מוגבלת, או אם היא זכות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 שנזקק להחלטתו או להמלצתו או שלטובתו החליט או המליץ;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אם הזכות נתקבלה כאמור בפסקה (4) על ידי העובד עצמו שפרש או על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קרובו.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לא יחול בכל אחד המקרים האלה: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עברה שגה מיום פרישתו של העובד;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הועדה שהוקמה לפי סעיף 11 אישרה שעברו שנתיים מיום גמר טיפולו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העובד בהחלטה או בהמלצה;</w:t>
                        </w:r>
                      </w:p>
                      <w:p w:rsidR="00791E89" w:rsidRPr="00C152E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ניתן היתר לפי חוק זה לקבלתה של הזכות.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עבודה או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טובת הנאה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בעסקים שהיו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בטיפולו של</w:t>
                        </w:r>
                      </w:p>
                      <w:p w:rsidR="00791E89" w:rsidRPr="00C152E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עובד הציבור</w:t>
                        </w:r>
                      </w:p>
                    </w:tc>
                  </w:tr>
                  <w:tr w:rsidR="00791E89" w:rsidRPr="00C152E9">
                    <w:trPr>
                      <w:jc w:val="right"/>
                    </w:trPr>
                    <w:tc>
                      <w:tcPr>
                        <w:tcW w:w="4159" w:type="pct"/>
                      </w:tcPr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מי שפרש משירות כחייל בצבא-הגנה לישראל או משירות כשוטר במשטרת ישראל,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 עליו סעיף 4 אלא במידה ובתנאים שקבע שר המשפטים בתקנות, בהתייעצות עם</w:t>
                        </w:r>
                      </w:p>
                      <w:p w:rsidR="00791E89" w:rsidRPr="00C152E9" w:rsidRDefault="00791E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או עם שר המשטרה, לפי הענין.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בפרישה</w:t>
                        </w:r>
                      </w:p>
                      <w:p w:rsidR="00791E8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משירות בצה"ל</w:t>
                        </w:r>
                      </w:p>
                      <w:p w:rsidR="00791E89" w:rsidRPr="00C152E9" w:rsidRDefault="00791E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במשטרה</w:t>
                        </w:r>
                      </w:p>
                    </w:tc>
                  </w:tr>
                </w:tbl>
                <w:p w:rsidR="00791E89" w:rsidRDefault="00791E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990" o:spid="_x0000_s1028" type="#_x0000_t202" style="position:absolute;left:0;text-align:left;margin-left:109.3pt;margin-top:80.35pt;width:341.35pt;height:32.1pt;z-index:1;mso-position-horizontal-relative:page;mso-position-vertical-relative:page" stroked="f">
            <v:textbox style="mso-next-textbox:#_x0000_s24990" inset="0,0,0,0">
              <w:txbxContent>
                <w:p w:rsidR="00791E89" w:rsidRPr="00C152E9" w:rsidRDefault="00791E89">
                  <w:pPr>
                    <w:pStyle w:val="OCRStyle1"/>
                    <w:ind w:left="26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שירות הציבור (הגבלות לאחר פרישה), תשכ"ט-1969 *</w:t>
                  </w:r>
                </w:p>
              </w:txbxContent>
            </v:textbox>
            <w10:wrap anchorx="page" anchory="page"/>
          </v:shape>
        </w:pict>
      </w:r>
    </w:p>
    <w:p w:rsidR="005A146F" w:rsidRDefault="005A146F">
      <w:pPr>
        <w:rPr>
          <w:rtl/>
        </w:rPr>
      </w:pPr>
      <w:r>
        <w:rPr>
          <w:rtl/>
        </w:rPr>
        <w:br w:type="page"/>
      </w:r>
    </w:p>
    <w:p w:rsidR="005A146F" w:rsidRDefault="00000000">
      <w:pPr>
        <w:rPr>
          <w:rtl/>
        </w:rPr>
      </w:pPr>
      <w:r>
        <w:pict>
          <v:shape id="_x0000_s2499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991" inset="0,0,0,0">
              <w:txbxContent>
                <w:p w:rsidR="00791E89" w:rsidRDefault="00791E89">
                  <w:r>
                    <w:rPr>
                      <w:rtl/>
                    </w:rPr>
                    <w:t>145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92" o:spid="_x0000_s1030" type="#_x0000_t202" style="position:absolute;left:0;text-align:left;margin-left:392.85pt;margin-top:719.35pt;width:158.4pt;height:33.85pt;z-index:6;mso-position-horizontal-relative:page;mso-position-vertical-relative:page" stroked="f">
            <v:textbox style="mso-next-textbox:#_x0000_s24992" inset="0,0,0,0">
              <w:txbxContent>
                <w:p w:rsidR="00791E89" w:rsidRDefault="00791E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993" o:spid="_x0000_s1031" type="#_x0000_t202" style="position:absolute;left:0;text-align:left;margin-left:94.9pt;margin-top:73.5pt;width:460.95pt;height:634.6pt;z-index:5;mso-position-horizontal-relative:page;mso-position-vertical-relative:page" stroked="f">
            <v:textbox style="mso-next-textbox:#_x0000_s2499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6"/>
                    <w:gridCol w:w="6994"/>
                  </w:tblGrid>
                  <w:tr w:rsidR="00791E89" w:rsidRPr="005A146F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הגבלות בפרישה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מי שמילא תפקיד בשירות הציבור בחוץ-לארץ, לא יעשה, ללא היתר לפי חוק זה,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הדברים המנויים להלן בארצות שבהן מילא את תפקידו תוך שנתיים לפני שגמר אותו,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עברו שנתיים לאחר שגמר אותו, והם: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קבלת משרה, תפקיד או עבודה כשכיר, או שלא כשכיר אלא בדרך של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התקשרות לתקופה מסויימת או בלתי מוגבלת מראש;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רכישת זכות בעסק או קבלתה בדרך אחרת.</w:t>
                        </w:r>
                      </w:p>
                    </w:tc>
                  </w:tr>
                  <w:tr w:rsidR="00791E89" w:rsidRPr="005A146F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הנאה בעסק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היא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לענין סעיפים 4 עד 6, "זכות בעסק" - זכות כבעל, כשותף, כחבר הנהלה או כבעל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מניות בעסק המתנהל לשם הפקת רווחים; ולענין זה "חבר הנהלה" ו"בעל מניות" בעסק -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חבר הנהלה ובעל מניות בתאגיד אשר לו השליטה במישרין או בעקיפין בתאגיד אחר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שהעסק נמצא בשליטתו.</w:t>
                        </w:r>
                      </w:p>
                    </w:tc>
                  </w:tr>
                  <w:tr w:rsidR="00791E89" w:rsidRPr="005A146F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העובר על הוראה שבסעיפים 2 עד 6, דינו - קנס 50,000 לירות או מאסר ששה חדשים.</w:t>
                        </w:r>
                      </w:p>
                    </w:tc>
                  </w:tr>
                  <w:tr w:rsidR="00791E89" w:rsidRPr="005A146F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חוץ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מי שעבר עבירה לפי חוק זה בחוץ-לארץ, יתן עליה את הדין בישראל.</w:t>
                        </w:r>
                      </w:p>
                    </w:tc>
                  </w:tr>
                  <w:tr w:rsidR="00791E89" w:rsidRPr="005A146F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תהא הגנה לאדם הנאשם בעבירה לפי סעיפים 4 עד 6 על רכישת זכות בעסק או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קבלתה בדרך אחרת, אם יוכיח כל אלה: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הזכות היתה מניות בתאגיד בלבד;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לא שימש מנהל לאותו תאגיד;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חלקו או החלק של קרובו בהון הנפרע וברווחים של התאגיד לא עלה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חמישה אחוזים, או על 50,000 לירות, הכל לפי הקטן יותר.</w:t>
                        </w:r>
                      </w:p>
                    </w:tc>
                  </w:tr>
                  <w:tr w:rsidR="00791E89" w:rsidRPr="005A146F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למתן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היתרים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שר המשפטים יקים ועדה של שלושה למתן היתרים לפי חוק זה (להלן - הועדה);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בראשה יעמוד שופט של בית משפט מחוזי, אחד מחבריה יהיה אדם שלא מבין העובדים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הציבור (להלן - נציג הציבור), והשלישי יהיה עובד בשירות הציבור.</w:t>
                        </w:r>
                      </w:p>
                    </w:tc>
                  </w:tr>
                  <w:tr w:rsidR="00791E89" w:rsidRPr="005A146F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הועדה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שר המשפטים ימנה את השופט שיהיה יושב ראש קבוע לועדה; יתר חברי הועדה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יתמנו לדיון בענין פלוני, בדרך שקבע שר המשפטים בתקנות, אחד אחד מתוך רשימה של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 ציבור ומתוך רשימה של עובדים בשירות הציבור שערך שר המשפטים; אולם -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כשהמבקש הוא מי שפרש או עומד לפרוש משירות כחייל בצבא-הגנה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- יתמנה העובד בשירות הציבור בדרך האמורה מתוך רשימה שהגיש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הבטחון לשר המשפטים;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כשהמבקש הוא מי שפרש או עומד לפרוש משירות כשוטר במשטרת</w:t>
                        </w:r>
                      </w:p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- יתמנה העובד בשירות הציבור בדרך האמורה מתוך רשימה שהגיש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המשטרה לשר המשפטים.</w:t>
                        </w:r>
                      </w:p>
                    </w:tc>
                  </w:tr>
                  <w:tr w:rsidR="00791E89" w:rsidRPr="005A146F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שמיעת נציג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4173" w:type="pct"/>
                      </w:tcPr>
                      <w:p w:rsidR="00791E89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הועדה תתן לנציג השירות שממנו פרש המבקש או עומד לפרוש ממנו הזדמנות להש-</w:t>
                        </w:r>
                      </w:p>
                      <w:p w:rsidR="00791E89" w:rsidRPr="005A146F" w:rsidRDefault="00791E8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מיע את דבריו.</w:t>
                        </w:r>
                      </w:p>
                    </w:tc>
                  </w:tr>
                </w:tbl>
                <w:p w:rsidR="00791E89" w:rsidRDefault="00791E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12808" w:rsidRDefault="00412808">
      <w:pPr>
        <w:rPr>
          <w:rtl/>
        </w:rPr>
      </w:pPr>
      <w:r>
        <w:rPr>
          <w:rtl/>
        </w:rPr>
        <w:br w:type="page"/>
      </w:r>
    </w:p>
    <w:p w:rsidR="00412808" w:rsidRDefault="00000000">
      <w:pPr>
        <w:rPr>
          <w:rtl/>
        </w:rPr>
      </w:pPr>
      <w:r>
        <w:pict>
          <v:shape id="_x0000_s2499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4994" inset="0,0,0,0">
              <w:txbxContent>
                <w:p w:rsidR="00791E89" w:rsidRDefault="00791E89">
                  <w:r>
                    <w:rPr>
                      <w:rtl/>
                    </w:rPr>
                    <w:t>146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95" o:spid="_x0000_s1033" type="#_x0000_t202" style="position:absolute;left:0;text-align:left;margin-left:86.75pt;margin-top:654.9pt;width:368.7pt;height:89.5pt;z-index:9;mso-position-horizontal-relative:page;mso-position-vertical-relative:page" stroked="f">
            <v:textbox style="mso-next-textbox:#_x0000_s24995" inset="0,0,0,0">
              <w:txbxContent>
                <w:p w:rsidR="00791E89" w:rsidRDefault="00791E89">
                  <w:pPr>
                    <w:pStyle w:val="OCRStyle3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1 ס''ח תשכ''ט, עמי 28.</w:t>
                  </w:r>
                </w:p>
                <w:p w:rsidR="00791E89" w:rsidRDefault="00791E89">
                  <w:pPr>
                    <w:pStyle w:val="OCRStyle3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2 ס''ח תשי"ח/ עמי .92</w:t>
                  </w:r>
                </w:p>
                <w:p w:rsidR="00791E89" w:rsidRPr="00412808" w:rsidRDefault="00791E89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3 ס''ח תשכ''ג, עמ' .136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96" o:spid="_x0000_s1034" type="#_x0000_t202" style="position:absolute;left:0;text-align:left;margin-left:81pt;margin-top:75.95pt;width:472.45pt;height:576.95pt;z-index:8;mso-position-horizontal-relative:page;mso-position-vertical-relative:page" stroked="f">
            <v:textbox style="mso-next-textbox:#_x0000_s2499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6"/>
                    <w:gridCol w:w="1652"/>
                  </w:tblGrid>
                  <w:tr w:rsidR="00791E89" w:rsidRPr="00412808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הועדה תתן את ההיתר המבוקש, אם נוכחה כי אין ברכישתה או בקבלתה של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הזכות המבוקשת משום פגיעה בטוהר המידות.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בבואה להחליט בבקשה למתן היתר, תביא הועדה בחשבון, בין השאר, את -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נסיבות הפרישה;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מידת הכפיפות בין המבקש לבין מחליט ההחלטה כאמור בסעיף 4 או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הממליץ עליה?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המידה שבה חרגה החלטה כאמור או ההמלצה עליה מהשיגרה בענינים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סוג;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היקף הנושא של ההחלטה ומשקלו?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העובדה כי ההעסקה המבוקשת היא בתאגיד ממלכתי או בחברה ממשלתית.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טוהר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המידות שיקול</w:t>
                        </w:r>
                      </w:p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מכריע</w:t>
                        </w:r>
                      </w:p>
                    </w:tc>
                  </w:tr>
                  <w:tr w:rsidR="00791E89" w:rsidRPr="00412808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שר המשפטים רשאי, בתקנות, לקבוע את סדרי הדין והנוהל לפני הועדה.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הדין והנוהל</w:t>
                        </w:r>
                      </w:p>
                    </w:tc>
                  </w:tr>
                  <w:tr w:rsidR="00791E89" w:rsidRPr="00412808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סעיפים 8 עד 11 לחוק ועדות חקירה, תשכ"ט-1968 1, יחולו כאילו הועדה היתה ועדת</w:t>
                        </w:r>
                      </w:p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לפי החוק האמור.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ועדת</w:t>
                        </w:r>
                      </w:p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</w:t>
                        </w:r>
                      </w:p>
                    </w:tc>
                  </w:tr>
                  <w:tr w:rsidR="00791E89" w:rsidRPr="00412808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שר המשפטים, באישור ועדת העבודה של הכנסת, רשאי בצו להוסיף לתוספת כל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מפעל, מוסד, קרן, או גוף אחר שהממשלה משתתפת בהנהלתם כאמור בסעיף 9 (5) לחוק</w:t>
                        </w:r>
                      </w:p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המדינה, תשי"ח-1958 ננוסח משולב] 2.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שיגוי התוספת</w:t>
                        </w:r>
                      </w:p>
                    </w:tc>
                  </w:tr>
                  <w:tr w:rsidR="00791E89" w:rsidRPr="00412808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שר המשפטים, באישור ועדת העבודה של הכנסת, רשאי, בצו, לשנות את הסכום</w:t>
                        </w:r>
                      </w:p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10 (3).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הסכום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המירבי לגבי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זכות</w:t>
                        </w:r>
                      </w:p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בתאגיד</w:t>
                        </w:r>
                      </w:p>
                    </w:tc>
                  </w:tr>
                  <w:tr w:rsidR="00791E89" w:rsidRPr="00412808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חוק זה אינו גורע מאיסורים על פי חיקוק אחר או על פי הסכם.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791E89" w:rsidRPr="00412808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שר המשפטים ממונה על ביצועו של חוק זה.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  <w:tr w:rsidR="00791E89" w:rsidRPr="00412808">
                    <w:trPr>
                      <w:jc w:val="right"/>
                    </w:trPr>
                    <w:tc>
                      <w:tcPr>
                        <w:tcW w:w="4038" w:type="pct"/>
                      </w:tcPr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מי שעבד בשירות הציבור ביום תחילתו של חוק זה -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יחולו על פרישתו הראשונה לאחר אותו מועד סעיפים 3 עד 5, אלא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במועד פרישה זו עברו שנתיים מיום תחילתו של חוק זה;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תישמע, לענין חוק פיצויי פיטורים, תשכ"ג-1963 3, טענתו, כי עקב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תחולתם של חוק זה או תקנות על פיו חלה הרעה מוחשית בתנאי עבודתו, או כי</w:t>
                        </w:r>
                      </w:p>
                      <w:p w:rsidR="00791E89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תחולתם היא לגביו נסיבות שביחסי עבודה, שבהן אין לדרוש ממנו כי ימשיך</w:t>
                        </w:r>
                      </w:p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בעבודתו.</w:t>
                        </w:r>
                      </w:p>
                    </w:tc>
                    <w:tc>
                      <w:tcPr>
                        <w:tcW w:w="962" w:type="pct"/>
                      </w:tcPr>
                      <w:p w:rsidR="00791E89" w:rsidRPr="00412808" w:rsidRDefault="00791E8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791E89" w:rsidRDefault="00791E8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91E89" w:rsidRDefault="00791E89">
      <w:pPr>
        <w:rPr>
          <w:rtl/>
        </w:rPr>
      </w:pPr>
      <w:r>
        <w:rPr>
          <w:rtl/>
        </w:rPr>
        <w:br w:type="page"/>
      </w:r>
    </w:p>
    <w:p w:rsidR="00791E89" w:rsidRDefault="00000000">
      <w:pPr>
        <w:rPr>
          <w:rtl/>
        </w:rPr>
      </w:pPr>
      <w:r>
        <w:pict>
          <v:shape id="_x0000_s24997" o:spid="_x0000_s1035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4997" inset="0,0,0,0">
              <w:txbxContent>
                <w:p w:rsidR="00791E89" w:rsidRDefault="00791E89">
                  <w:r>
                    <w:rPr>
                      <w:rtl/>
                    </w:rPr>
                    <w:t>147                                          ספר החוקים 561                  י"ז בתמוז התשכ"ט 03.07.1969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98" o:spid="_x0000_s1036" type="#_x0000_t202" style="position:absolute;left:0;text-align:left;margin-left:167.45pt;margin-top:346.4pt;width:113.05pt;height:46.15pt;z-index:14;mso-position-horizontal-relative:page;mso-position-vertical-relative:page" stroked="f">
            <v:textbox style="mso-next-textbox:#_x0000_s24998" inset="0,0,0,0">
              <w:txbxContent>
                <w:p w:rsidR="00791E89" w:rsidRDefault="00791E89">
                  <w:pPr>
                    <w:pStyle w:val="OCRStyle4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791E89" w:rsidRDefault="00791E89">
                  <w:pPr>
                    <w:pStyle w:val="OCRStyle4"/>
                    <w:ind w:left="45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4999" o:spid="_x0000_s1037" type="#_x0000_t202" style="position:absolute;left:0;text-align:left;margin-left:312.55pt;margin-top:351.15pt;width:82.15pt;height:40.4pt;z-index:13;mso-position-horizontal-relative:page;mso-position-vertical-relative:page" stroked="f">
            <v:textbox style="mso-next-textbox:#_x0000_s24999" inset="0,0,0,0">
              <w:txbxContent>
                <w:p w:rsidR="00791E89" w:rsidRDefault="00791E89">
                  <w:pPr>
                    <w:pStyle w:val="OCRStyle4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91E89" w:rsidRDefault="00791E89">
                  <w:pPr>
                    <w:pStyle w:val="OCRStyle4"/>
                    <w:ind w:left="20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00" o:spid="_x0000_s1038" type="#_x0000_t202" style="position:absolute;left:0;text-align:left;margin-left:419.1pt;margin-top:384pt;width:122.55pt;height:51.9pt;z-index:12;mso-position-horizontal-relative:page;mso-position-vertical-relative:page" stroked="f">
            <v:textbox style="mso-next-textbox:#_x0000_s25000" inset="0,0,0,0">
              <w:txbxContent>
                <w:p w:rsidR="00791E89" w:rsidRDefault="00791E89">
                  <w:pPr>
                    <w:pStyle w:val="OCRStyle4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791E89" w:rsidRDefault="00791E89">
                  <w:pPr>
                    <w:pStyle w:val="OCRStyle4"/>
                    <w:ind w:left="5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001" o:spid="_x0000_s1039" type="#_x0000_t202" style="position:absolute;left:0;text-align:left;margin-left:248.4pt;margin-top:78.5pt;width:204.75pt;height:253.65pt;z-index:11;mso-position-horizontal-relative:page;mso-position-vertical-relative:page" stroked="f">
            <v:textbox style="mso-next-textbox:#_x0000_s25001" inset="0,0,0,0">
              <w:txbxContent>
                <w:p w:rsidR="00791E89" w:rsidRDefault="00791E89">
                  <w:pPr>
                    <w:pStyle w:val="OCRStyle4"/>
                    <w:ind w:left="1530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791E89" w:rsidRDefault="00791E89">
                  <w:pPr>
                    <w:pStyle w:val="OCRStyle4"/>
                    <w:ind w:left="1490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791E89" w:rsidRDefault="00791E89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המוסד לביטוח לאומי</w:t>
                  </w:r>
                </w:p>
                <w:p w:rsidR="00791E89" w:rsidRDefault="00791E89">
                  <w:pPr>
                    <w:pStyle w:val="OCRStyle4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שירות התעסוקה</w:t>
                  </w:r>
                </w:p>
                <w:p w:rsidR="00791E89" w:rsidRDefault="00791E89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רשות הנמלים</w:t>
                  </w:r>
                </w:p>
                <w:p w:rsidR="00791E89" w:rsidRDefault="00791E89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רשות השידור</w:t>
                  </w:r>
                </w:p>
                <w:p w:rsidR="00791E89" w:rsidRDefault="00791E89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הרשות לביגוי ופינוי אזורי שיקום</w:t>
                  </w:r>
                </w:p>
                <w:p w:rsidR="00791E89" w:rsidRDefault="00791E89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המועצה לשיווק פרי הדר</w:t>
                  </w:r>
                </w:p>
                <w:p w:rsidR="00791E89" w:rsidRDefault="00791E89">
                  <w:pPr>
                    <w:pStyle w:val="OCRStyle4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המועצה לייצור ולשיווק של אגוזי אדמה ,</w:t>
                  </w:r>
                </w:p>
                <w:p w:rsidR="00791E89" w:rsidRDefault="00791E89">
                  <w:pPr>
                    <w:pStyle w:val="OCRStyle4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המועצה לייצור ולשיווק ירקות</w:t>
                  </w:r>
                </w:p>
                <w:p w:rsidR="00791E89" w:rsidRDefault="00791E89">
                  <w:pPr>
                    <w:pStyle w:val="OCRStyle4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המועצה לענף הלול</w:t>
                  </w:r>
                </w:p>
                <w:p w:rsidR="00791E89" w:rsidRPr="00791E89" w:rsidRDefault="00791E89">
                  <w:pPr>
                    <w:pStyle w:val="OCRStyle4"/>
                    <w:ind w:left="230"/>
                  </w:pPr>
                  <w:r>
                    <w:rPr>
                      <w:rtl/>
                    </w:rPr>
                    <w:t>המועצה להסדר הימורים כספורט.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152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A04255-F51E-4552-9663-78D4924CB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152E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A146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1280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91E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2008-04-06T21:11:00Z</dcterms:created>
  <dcterms:modified xsi:type="dcterms:W3CDTF">2008-04-06T21:11:00Z</dcterms:modified>
</cp:coreProperties>
</file>