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06F72" w:rsidRDefault="00206F72">
      <w:pPr>
        <w:rPr>
          <w:rtl/>
        </w:rPr>
      </w:pPr>
    </w:p>
    <w:p w:rsidR="00206F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13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139" inset="0,0,0,0">
              <w:txbxContent>
                <w:p w:rsidR="00EE76DD" w:rsidRDefault="00EE76DD">
                  <w:r>
                    <w:rPr>
                      <w:rtl/>
                    </w:rPr>
                    <w:t>108                                          ספר החוקים 935                 כ"ו בסיוון התשל"ט 21.06.1979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40" o:spid="_x0000_s1026" type="#_x0000_t202" style="position:absolute;left:0;text-align:left;margin-left:86.95pt;margin-top:640.55pt;width:377.8pt;height:105.15pt;z-index:3;mso-position-horizontal-relative:page;mso-position-vertical-relative:page" stroked="f">
            <v:textbox style="mso-next-textbox:#_x0000_s25140" inset="0,0,0,0">
              <w:txbxContent>
                <w:p w:rsidR="00EE76DD" w:rsidRDefault="00EE76DD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בסיון תשל"ט (11 ביוני 1979); הצעת החוק ודברי הסבר פורסמו בה''ח 1197, תשל''ח,</w:t>
                  </w:r>
                </w:p>
                <w:p w:rsidR="00EE76DD" w:rsidRDefault="00EE76DD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419.</w:t>
                  </w:r>
                </w:p>
                <w:p w:rsidR="00EE76DD" w:rsidRDefault="00EE76DD">
                  <w:pPr>
                    <w:pStyle w:val="OCRStyle1"/>
                    <w:ind w:left="1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1ס"ח תשט"ו, עמ' 171; תשל"ח, עמ' 161.</w:t>
                  </w:r>
                </w:p>
                <w:p w:rsidR="00EE76DD" w:rsidRPr="00206F72" w:rsidRDefault="00EE76DD">
                  <w:pPr>
                    <w:pStyle w:val="OCRStyle1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תשל"ז,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41" o:spid="_x0000_s1027" type="#_x0000_t202" style="position:absolute;left:0;text-align:left;margin-left:95.45pt;margin-top:103.4pt;width:453.6pt;height:534.6pt;z-index:2;mso-position-horizontal-relative:page;mso-position-vertical-relative:page" stroked="f">
            <v:textbox style="mso-next-textbox:#_x0000_s2514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0"/>
                    <w:gridCol w:w="1333"/>
                    <w:gridCol w:w="1267"/>
                  </w:tblGrid>
                  <w:tr w:rsidR="00EE76DD" w:rsidRPr="00206F72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EE76DD" w:rsidRDefault="00EE76D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כסעיף 1 לחוק השיפוט הצבאי, תשט"ו-1955  1 (להלן - החוק העיקרי), כמקום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"פקודות הצבא" יבוא:</w:t>
                        </w:r>
                      </w:p>
                      <w:p w:rsidR="00EE76DD" w:rsidRPr="00206F72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""פקודות הצבא" - הוראות הפיקוד העליון ופקודות המטה הכללי;".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E76DD" w:rsidRPr="00206F72" w:rsidRDefault="00EE7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EE76DD" w:rsidRPr="00206F72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EE76DD" w:rsidRPr="00206F72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אחרי סעיף 2 לחוק העיקרי יבוא: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E76DD" w:rsidRDefault="00EE7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EE76DD" w:rsidRPr="00206F72" w:rsidRDefault="00EE7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2א-2ב</w:t>
                        </w:r>
                      </w:p>
                    </w:tc>
                  </w:tr>
                  <w:tr w:rsidR="00EE76DD">
                    <w:trPr>
                      <w:jc w:val="right"/>
                    </w:trPr>
                    <w:tc>
                      <w:tcPr>
                        <w:tcW w:w="3424" w:type="pct"/>
                      </w:tcPr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הוראות הפיקוד העליון הן הוראות כלליות שיוציא הרמטכ"ל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כאישור שר הבטחון, והן יקבעו עקרונות הנוגעים לארגון הצבא, למינהל,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למשטר ולמשמעת בו ולהבטחת פעולתו התקינה.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פקודות המטה הכללי הן פקודות כלליות שיוציא הרמטכ"ל,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והן יקבעו פרטים כנושאים האמורים במעיך קטן (א).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בהוראות הפיקוד העליון ניתן לקבוע סוגים אחרים של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פקודות כלליות המחייכות בצבא (להלן - פקודות כלליות אחרות) והמוס-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מכים להוציאן.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'"הוראות ופקודות</w:t>
                        </w:r>
                      </w:p>
                      <w:p w:rsidR="00EE76DD" w:rsidRPr="00206F72" w:rsidRDefault="00EE7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כלליות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E76DD">
                    <w:trPr>
                      <w:jc w:val="right"/>
                    </w:trPr>
                    <w:tc>
                      <w:tcPr>
                        <w:tcW w:w="3424" w:type="pct"/>
                      </w:tcPr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הוראות ופקודות כאמור כסעיף 2א אינן טעונות פרסום ברשומות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ויובאו לידיעת הנוגעים בדבר בדרך שיורה הרמטכ"ל."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E76DD" w:rsidRDefault="00EE7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מפרסום</w:t>
                        </w:r>
                      </w:p>
                      <w:p w:rsidR="00EE76DD" w:rsidRPr="00206F72" w:rsidRDefault="00EE7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גרשומות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E76DD" w:rsidRPr="00206F72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EE76DD" w:rsidRPr="00206F72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3 לחוק העיקרי יבוא: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E76DD" w:rsidRPr="00206F72" w:rsidRDefault="00EE7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</w:t>
                        </w:r>
                      </w:p>
                    </w:tc>
                  </w:tr>
                  <w:tr w:rsidR="00EE76DD">
                    <w:trPr>
                      <w:jc w:val="right"/>
                    </w:trPr>
                    <w:tc>
                      <w:tcPr>
                        <w:tcW w:w="3424" w:type="pct"/>
                      </w:tcPr>
                      <w:p w:rsidR="00EE76DD" w:rsidRDefault="00EE7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לענין חוק זה רואים את פקודות הצבא ופקודות כלליות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כדינים.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שבו קיימת סתירה בין הוראת הפיקוד העליון לבין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המטה הכללי או פקודה כללית אחרת - עדיפה הוראת הפיקוד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העליון: מקום שבו קיימת סתירה בין פקודת המטה הכללי לבין פקודה</w:t>
                        </w:r>
                      </w:p>
                      <w:p w:rsidR="00EE76DD" w:rsidRPr="00206F72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 אחרת - עדיפה פקודת המטה הכללי,"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הוראות</w:t>
                        </w:r>
                      </w:p>
                      <w:p w:rsidR="00EE76DD" w:rsidRPr="00206F72" w:rsidRDefault="00EE7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ופקודות כלליות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E76DD" w:rsidRPr="00206F72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EE76DD" w:rsidRPr="00206F72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133 לחוק העיקרי יבוא: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E76DD" w:rsidRPr="00206F72" w:rsidRDefault="00EE7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133</w:t>
                        </w:r>
                      </w:p>
                    </w:tc>
                  </w:tr>
                  <w:tr w:rsidR="00EE76DD">
                    <w:trPr>
                      <w:jc w:val="right"/>
                    </w:trPr>
                    <w:tc>
                      <w:tcPr>
                        <w:tcW w:w="3424" w:type="pct"/>
                      </w:tcPr>
                      <w:p w:rsidR="00EE76DD" w:rsidRDefault="00EE7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133. (א) חייל שעשה אחת מאלה, דינו - מאסר שנה: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קיים הוראה מפקודות הצבא או מפקודות כלליות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אחרות: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קיים הוראה מפקודות קבע או מפקודות שיגרה,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שפורסמו בכתב בהתאם לפקודות הצבא, בהתאם לפקודות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כלליות אחרות או בהתאם לנוהג הצבאי: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קיים ברשלנות הוראה מההוראות האמורות בפסקאות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ו-(2).</w:t>
                        </w:r>
                      </w:p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12 לחוק העונשין, תשל"ז-21977, רואים גם</w:t>
                        </w:r>
                      </w:p>
                      <w:p w:rsidR="00EE76DD" w:rsidRPr="00206F72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פקודות קבע ופקודות שיגרה כאמור בסעיף קטן (א) (2) כדינים."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קיום הוראות</w:t>
                        </w:r>
                      </w:p>
                      <w:p w:rsidR="00EE76DD" w:rsidRPr="00206F72" w:rsidRDefault="00EE7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המחייבות בצבא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E76DD" w:rsidRDefault="00EE76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E76DD" w:rsidRDefault="00EE76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142" o:spid="_x0000_s1028" type="#_x0000_t202" style="position:absolute;left:0;text-align:left;margin-left:146.35pt;margin-top:73.3pt;width:287.5pt;height:25.95pt;z-index:1;mso-position-horizontal-relative:page;mso-position-vertical-relative:page" stroked="f">
            <v:textbox style="mso-next-textbox:#_x0000_s25142" inset="0,0,0,0">
              <w:txbxContent>
                <w:p w:rsidR="00EE76DD" w:rsidRPr="00206F72" w:rsidRDefault="00EE76DD">
                  <w:pPr>
                    <w:pStyle w:val="OCRStyle1"/>
                    <w:ind w:left="198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חוק השיפוט הצבאי (תיקון מס' 12), תשל"ט-1979 *</w:t>
                  </w:r>
                </w:p>
              </w:txbxContent>
            </v:textbox>
            <w10:wrap anchorx="page" anchory="page"/>
          </v:shape>
        </w:pict>
      </w:r>
    </w:p>
    <w:p w:rsidR="00EE76DD" w:rsidRDefault="00EE76DD">
      <w:pPr>
        <w:rPr>
          <w:rtl/>
        </w:rPr>
      </w:pPr>
      <w:r>
        <w:rPr>
          <w:rtl/>
        </w:rPr>
        <w:br w:type="page"/>
      </w:r>
    </w:p>
    <w:p w:rsidR="00EE76DD" w:rsidRDefault="00000000">
      <w:pPr>
        <w:rPr>
          <w:rtl/>
        </w:rPr>
      </w:pPr>
      <w:r>
        <w:pict>
          <v:shape id="_x0000_s2514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5143" inset="0,0,0,0">
              <w:txbxContent>
                <w:p w:rsidR="00EE76DD" w:rsidRDefault="00EE76DD">
                  <w:r>
                    <w:rPr>
                      <w:rtl/>
                    </w:rPr>
                    <w:t>109                                          ספר החוקים 935                 כ"ו בסיוון התשל"ט 21.06.1979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44" o:spid="_x0000_s1030" type="#_x0000_t202" style="position:absolute;left:0;text-align:left;margin-left:191.45pt;margin-top:170.4pt;width:70.5pt;height:33.65pt;z-index:8;mso-position-horizontal-relative:page;mso-position-vertical-relative:page" stroked="f">
            <v:textbox style="mso-next-textbox:#_x0000_s25144" inset="0,0,0,0">
              <w:txbxContent>
                <w:p w:rsidR="00EE76DD" w:rsidRDefault="00EE76DD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E76DD" w:rsidRDefault="00EE76DD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45" o:spid="_x0000_s1031" type="#_x0000_t202" style="position:absolute;left:0;text-align:left;margin-left:307.7pt;margin-top:169.65pt;width:78.2pt;height:38.8pt;z-index:7;mso-position-horizontal-relative:page;mso-position-vertical-relative:page" stroked="f">
            <v:textbox style="mso-next-textbox:#_x0000_s25145" inset="0,0,0,0">
              <w:txbxContent>
                <w:p w:rsidR="00EE76DD" w:rsidRDefault="00EE76DD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מנחם. בגין</w:t>
                  </w:r>
                </w:p>
                <w:p w:rsidR="00EE76DD" w:rsidRDefault="00EE76DD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46" o:spid="_x0000_s1032" type="#_x0000_t202" style="position:absolute;left:0;text-align:left;margin-left:468.65pt;margin-top:198.95pt;width:75.65pt;height:35.25pt;z-index:6;mso-position-horizontal-relative:page;mso-position-vertical-relative:page" stroked="f">
            <v:textbox style="mso-next-textbox:#_x0000_s25146" inset="0,0,0,0">
              <w:txbxContent>
                <w:p w:rsidR="00EE76DD" w:rsidRDefault="00EE76DD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EE76DD" w:rsidRDefault="00EE76DD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47" o:spid="_x0000_s1033" type="#_x0000_t202" style="position:absolute;left:0;text-align:left;margin-left:95pt;margin-top:76.75pt;width:453.6pt;height:81.75pt;z-index:5;mso-position-horizontal-relative:page;mso-position-vertical-relative:page" stroked="f">
            <v:textbox style="mso-next-textbox:#_x0000_s2514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3"/>
                    <w:gridCol w:w="7055"/>
                  </w:tblGrid>
                  <w:tr w:rsidR="00EE76DD" w:rsidRPr="00EE76DD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EE76DD" w:rsidRPr="00EE76DD" w:rsidRDefault="00EE76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540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EE76DD" w:rsidRDefault="00EE76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540 לחוק העיקרי, במקום "שבהגדרת "פקודות הצבא" שבסעיף 1" יבוא</w:t>
                        </w:r>
                      </w:p>
                      <w:p w:rsidR="00EE76DD" w:rsidRPr="00EE76DD" w:rsidRDefault="00EE7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סעיף 2א".</w:t>
                        </w:r>
                      </w:p>
                    </w:tc>
                  </w:tr>
                  <w:tr w:rsidR="00EE76DD" w:rsidRPr="00EE76DD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EE76DD" w:rsidRPr="00EE76DD" w:rsidRDefault="00EE76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EE76DD" w:rsidRDefault="00EE76D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כדי להסיר ספק מובהר גזה כי פקודות הצבא ופקודות כלליות אחרות, שהוצאו</w:t>
                        </w:r>
                      </w:p>
                      <w:p w:rsidR="00EE76DD" w:rsidRPr="00EE76DD" w:rsidRDefault="00EE76D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בצבא-הגנה לישראל לפני תחילתו של חוק זה, הוצאו כדין,</w:t>
                        </w:r>
                      </w:p>
                    </w:tc>
                  </w:tr>
                </w:tbl>
                <w:p w:rsidR="00EE76DD" w:rsidRDefault="00EE76D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06F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6F37F5-40BD-4D7E-A03F-2694F53C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06F7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E76DD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2008-04-06T23:57:00Z</dcterms:created>
  <dcterms:modified xsi:type="dcterms:W3CDTF">2008-04-06T23:58:00Z</dcterms:modified>
</cp:coreProperties>
</file>