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E5C05" w:rsidRDefault="006E5C05">
      <w:pPr>
        <w:rPr>
          <w:rtl/>
        </w:rPr>
      </w:pPr>
    </w:p>
    <w:p w:rsidR="006E5C0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5680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5680" inset="0,0,0,0">
              <w:txbxContent>
                <w:p w:rsidR="00F6520B" w:rsidRDefault="00F6520B">
                  <w:r>
                    <w:rPr>
                      <w:rtl/>
                    </w:rPr>
                    <w:t>56                                           ספר החוקים 332                   ו' בניסן התשכ"א 23.03.1961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25681" o:spid="_x0000_s1026" type="#_x0000_t202" style="position:absolute;left:0;text-align:left;margin-left:80.25pt;margin-top:685.9pt;width:386.5pt;height:66.75pt;z-index:3;mso-position-horizontal-relative:page;mso-position-vertical-relative:page" stroked="f">
            <v:textbox style="mso-next-textbox:#_x0000_s25681" inset="0,0,0,0">
              <w:txbxContent>
                <w:p w:rsidR="00F6520B" w:rsidRDefault="00F6520B">
                  <w:pPr>
                    <w:pStyle w:val="OCRStyle1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כ"ה באדר תשכ"א (13 במרס 1961); הצעת החוק ודברי הסבר נתפרסמו בה''ח 433, תש''ך,</w:t>
                  </w:r>
                </w:p>
                <w:p w:rsidR="00F6520B" w:rsidRPr="006E5C05" w:rsidRDefault="00F6520B">
                  <w:pPr>
                    <w:pStyle w:val="OCRStyle1"/>
                    <w:ind w:left="101"/>
                  </w:pPr>
                  <w:r>
                    <w:rPr>
                      <w:rtl/>
                    </w:rPr>
                    <w:t>עמי 158.</w:t>
                  </w:r>
                </w:p>
              </w:txbxContent>
            </v:textbox>
            <w10:wrap anchorx="page" anchory="page"/>
          </v:shape>
        </w:pict>
      </w:r>
      <w:r>
        <w:pict>
          <v:shape id="_x0000_s25682" o:spid="_x0000_s1027" type="#_x0000_t202" style="position:absolute;left:0;text-align:left;margin-left:76.1pt;margin-top:107.5pt;width:479.35pt;height:576.4pt;z-index:2;mso-position-horizontal-relative:page;mso-position-vertical-relative:page" stroked="f">
            <v:textbox style="mso-next-textbox:#_x0000_s25682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12"/>
                    <w:gridCol w:w="1504"/>
                  </w:tblGrid>
                  <w:tr w:rsidR="00F6520B" w:rsidRPr="006E5C05">
                    <w:trPr>
                      <w:jc w:val="right"/>
                    </w:trPr>
                    <w:tc>
                      <w:tcPr>
                        <w:tcW w:w="4137" w:type="pct"/>
                      </w:tcPr>
                      <w:p w:rsidR="00F6520B" w:rsidRDefault="00F6520B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1, בחוק זה -</w:t>
                        </w:r>
                      </w:p>
                      <w:p w:rsidR="00F6520B" w:rsidRDefault="00F652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"רשות משמעת" - רשות המוסמכת לשפוט משפט משמעת על פי אחד החיקוקים המפורטים</w:t>
                        </w:r>
                      </w:p>
                      <w:p w:rsidR="00F6520B" w:rsidRDefault="00F652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בטור א' שבתוספת;</w:t>
                        </w:r>
                      </w:p>
                      <w:p w:rsidR="00F6520B" w:rsidRDefault="00F652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"רשות מאשרת" - הרשות הנקובה, לפי הענין, בטור ב' שבתוספת:</w:t>
                        </w:r>
                      </w:p>
                      <w:p w:rsidR="00F6520B" w:rsidRDefault="00F652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"משפט משמעת" - משפט בפני רשות משמעת או ענישה על ידיה;</w:t>
                        </w:r>
                      </w:p>
                      <w:p w:rsidR="00F6520B" w:rsidRDefault="00F652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"ענישה" - כל עונש שרשות משמעת מוסמכת להטיל על נידון וכל אמצעי נגד נידון שהיא</w:t>
                        </w:r>
                      </w:p>
                      <w:p w:rsidR="00F6520B" w:rsidRDefault="00F652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מוסמכת לנקוט או להורות על נקיטתו:</w:t>
                        </w:r>
                      </w:p>
                      <w:p w:rsidR="00F6520B" w:rsidRPr="006E5C05" w:rsidRDefault="00F652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"נידון" - מי שנידון במשפט משמעת.</w:t>
                        </w:r>
                      </w:p>
                    </w:tc>
                    <w:tc>
                      <w:tcPr>
                        <w:tcW w:w="863" w:type="pct"/>
                      </w:tcPr>
                      <w:p w:rsidR="00F6520B" w:rsidRPr="006E5C05" w:rsidRDefault="00F652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  <w:tr w:rsidR="00F6520B" w:rsidRPr="006E5C05">
                    <w:trPr>
                      <w:jc w:val="right"/>
                    </w:trPr>
                    <w:tc>
                      <w:tcPr>
                        <w:tcW w:w="4137" w:type="pct"/>
                      </w:tcPr>
                      <w:p w:rsidR="00F6520B" w:rsidRDefault="00F652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רשות מאשרת רשאית להורות על קיום משפט חוזר בענינו של נידון אם ראתה אחת</w:t>
                        </w:r>
                      </w:p>
                      <w:p w:rsidR="00F6520B" w:rsidRDefault="00F652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מאלה:</w:t>
                        </w:r>
                      </w:p>
                      <w:p w:rsidR="00F6520B" w:rsidRDefault="00F652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פסק בית משפט או בית דין או קבעה רשות המשמעת כי ראיה מהראיות</w:t>
                        </w:r>
                      </w:p>
                      <w:p w:rsidR="00F6520B" w:rsidRDefault="00F652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שהובאו באותו ענין היה יסודה בשקר או בזיוף, ויש יסוד להניח כי אילולא</w:t>
                        </w:r>
                      </w:p>
                      <w:p w:rsidR="00F6520B" w:rsidRDefault="00F652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ראיה זאת ה-ה בכך כדי לשנות את תוצאות משפט המשמעת לטובת הנידון;</w:t>
                        </w:r>
                      </w:p>
                      <w:p w:rsidR="00F6520B" w:rsidRDefault="00F652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נתגלו עובדות הדשות או ראיות חדשות העשויות, לבדן או ביחד עם</w:t>
                        </w:r>
                      </w:p>
                      <w:p w:rsidR="00F6520B" w:rsidRDefault="00F652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החומר שהיה לפני רשות המשמעת לראשונה' לשנות את תוצאות משפט המשמעת</w:t>
                        </w:r>
                      </w:p>
                      <w:p w:rsidR="00F6520B" w:rsidRDefault="00F652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לטובת הנידון, ולא יכלו להיות בידי הנידון, או לא יכלו להיות ידועות לו,</w:t>
                        </w:r>
                      </w:p>
                      <w:p w:rsidR="00F6520B" w:rsidRDefault="00F652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בשעת בירור משפט המשמעת?</w:t>
                        </w:r>
                      </w:p>
                      <w:p w:rsidR="00F6520B" w:rsidRDefault="00F652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על אותו מעשה נידון בינתיים אדם אחר לפני בית משפט' בית דין או</w:t>
                        </w:r>
                      </w:p>
                      <w:p w:rsidR="00F6520B" w:rsidRDefault="00F652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רשות המשמעת, ומהנסיבות שנתגלו במשפטו של אותו אדם אחר נראה כי מי</w:t>
                        </w:r>
                      </w:p>
                      <w:p w:rsidR="00F6520B" w:rsidRPr="006E5C05" w:rsidRDefault="00F652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שנידון לראשונה בשל אותו מעשה לא ביצע אותו.</w:t>
                        </w:r>
                      </w:p>
                    </w:tc>
                    <w:tc>
                      <w:tcPr>
                        <w:tcW w:w="863" w:type="pct"/>
                      </w:tcPr>
                      <w:p w:rsidR="00F6520B" w:rsidRDefault="00F652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הוראה על קיום</w:t>
                        </w:r>
                      </w:p>
                      <w:p w:rsidR="00F6520B" w:rsidRPr="006E5C05" w:rsidRDefault="00F652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 חוזר</w:t>
                        </w:r>
                      </w:p>
                    </w:tc>
                  </w:tr>
                  <w:tr w:rsidR="00F6520B" w:rsidRPr="006E5C05">
                    <w:trPr>
                      <w:jc w:val="right"/>
                    </w:trPr>
                    <w:tc>
                      <w:tcPr>
                        <w:tcW w:w="4137" w:type="pct"/>
                      </w:tcPr>
                      <w:p w:rsidR="00F6520B" w:rsidRDefault="00F652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 הרשות לבקש משפט חוזר נתונה לנידון, ליועץ המשפטי לממשלה ולרשות המשמעת?</w:t>
                        </w:r>
                      </w:p>
                      <w:p w:rsidR="00F6520B" w:rsidRPr="006E5C05" w:rsidRDefault="00F652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 הנידון, תהיה הרשות נתונה גם לבן-זוגו ולכל אחד מצאצאיו, הוריו, אחיו, או אחיותיו.</w:t>
                        </w:r>
                      </w:p>
                    </w:tc>
                    <w:tc>
                      <w:tcPr>
                        <w:tcW w:w="863" w:type="pct"/>
                      </w:tcPr>
                      <w:p w:rsidR="00F6520B" w:rsidRDefault="00F652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הזכאים לבקש</w:t>
                        </w:r>
                      </w:p>
                      <w:p w:rsidR="00F6520B" w:rsidRPr="006E5C05" w:rsidRDefault="00F652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 חוזר</w:t>
                        </w:r>
                      </w:p>
                    </w:tc>
                  </w:tr>
                  <w:tr w:rsidR="00F6520B" w:rsidRPr="006E5C05">
                    <w:trPr>
                      <w:jc w:val="right"/>
                    </w:trPr>
                    <w:tc>
                      <w:tcPr>
                        <w:tcW w:w="4137" w:type="pct"/>
                      </w:tcPr>
                      <w:p w:rsidR="00F6520B" w:rsidRDefault="00F652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משפט חוזר יקויים בפני רשות המשמעת; במשפט חוזר יהיו לרשות המשמעת כל</w:t>
                        </w:r>
                      </w:p>
                      <w:p w:rsidR="00F6520B" w:rsidRDefault="00F652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הסמכויות הנתונות לה במשפט משמעת, ובלבד שלא תוחמר ענישתו של הנידון:: דין ההחלטה</w:t>
                        </w:r>
                      </w:p>
                      <w:p w:rsidR="00F6520B" w:rsidRPr="006E5C05" w:rsidRDefault="00F652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במשפט חוזר כדין החלטה במשפט משמעת.</w:t>
                        </w:r>
                      </w:p>
                    </w:tc>
                    <w:tc>
                      <w:tcPr>
                        <w:tcW w:w="863" w:type="pct"/>
                      </w:tcPr>
                      <w:p w:rsidR="00F6520B" w:rsidRDefault="00F652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קיום המשפט</w:t>
                        </w:r>
                      </w:p>
                      <w:p w:rsidR="00F6520B" w:rsidRPr="006E5C05" w:rsidRDefault="00F652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החוזר</w:t>
                        </w:r>
                      </w:p>
                    </w:tc>
                  </w:tr>
                  <w:tr w:rsidR="00F6520B" w:rsidRPr="006E5C05">
                    <w:trPr>
                      <w:jc w:val="right"/>
                    </w:trPr>
                    <w:tc>
                      <w:tcPr>
                        <w:tcW w:w="4137" w:type="pct"/>
                      </w:tcPr>
                      <w:p w:rsidR="00F6520B" w:rsidRDefault="00F652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במשפט חוזר רשאית רשות המשמעת לתת כל צו שנראה בעיניה כדי לפצות נידון</w:t>
                        </w:r>
                      </w:p>
                      <w:p w:rsidR="00F6520B" w:rsidRDefault="00F652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שנשא ענישתו או חלק ממנה ושהרשעתו או ענישתו בוטלו במשפט החוזר' או לתת כל</w:t>
                        </w:r>
                      </w:p>
                      <w:p w:rsidR="00F6520B" w:rsidRDefault="00F652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סעד אחר? מת הנידון, רשאית רשות המשמעת לתת צו כאמור לטובתם של בני-משפחתו</w:t>
                        </w:r>
                      </w:p>
                      <w:p w:rsidR="00F6520B" w:rsidRDefault="00F652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האמורים בסעיף 3. צו לפי סעיף זה, פרט לצו של רשות משמעת לפי החיקוקים המפורטים</w:t>
                        </w:r>
                      </w:p>
                      <w:p w:rsidR="00F6520B" w:rsidRDefault="00F652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בפסקאות (1), (2), (3) לתוספת, טעון אישור בית המשפט המחוזי' ודינו' משאושר וכפי</w:t>
                        </w:r>
                      </w:p>
                      <w:p w:rsidR="00F6520B" w:rsidRPr="006E5C05" w:rsidRDefault="00F652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שאושר, כדין פסק דין של בית המשפט המחוזי שניתן במשפט אזרחי.</w:t>
                        </w:r>
                      </w:p>
                    </w:tc>
                    <w:tc>
                      <w:tcPr>
                        <w:tcW w:w="863" w:type="pct"/>
                      </w:tcPr>
                      <w:p w:rsidR="00F6520B" w:rsidRDefault="00F652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פיצוי על ענישה</w:t>
                        </w:r>
                      </w:p>
                      <w:p w:rsidR="00F6520B" w:rsidRPr="006E5C05" w:rsidRDefault="00F652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שבוטלה</w:t>
                        </w:r>
                      </w:p>
                    </w:tc>
                  </w:tr>
                  <w:tr w:rsidR="00F6520B" w:rsidRPr="006E5C05">
                    <w:trPr>
                      <w:jc w:val="right"/>
                    </w:trPr>
                    <w:tc>
                      <w:tcPr>
                        <w:tcW w:w="4137" w:type="pct"/>
                      </w:tcPr>
                      <w:p w:rsidR="00F6520B" w:rsidRDefault="00F652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6, במשפט חוזר רשאית רשות המשמעת להורות כי זכות או תפקיד שנשללו מהנידון</w:t>
                        </w:r>
                      </w:p>
                      <w:p w:rsidR="00F6520B" w:rsidRPr="006E5C05" w:rsidRDefault="00F652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עקב משפט המשמעת יוחזרו לו, והם יוחזרו לו' בהתאם לכך, על אף האמור בכל דין.</w:t>
                        </w:r>
                      </w:p>
                    </w:tc>
                    <w:tc>
                      <w:tcPr>
                        <w:tcW w:w="863" w:type="pct"/>
                      </w:tcPr>
                      <w:p w:rsidR="00F6520B" w:rsidRDefault="00F652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החזרת זכויות</w:t>
                        </w:r>
                      </w:p>
                      <w:p w:rsidR="00F6520B" w:rsidRPr="006E5C05" w:rsidRDefault="00F652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ותפקידים</w:t>
                        </w:r>
                      </w:p>
                    </w:tc>
                  </w:tr>
                  <w:tr w:rsidR="00F6520B" w:rsidRPr="006E5C05">
                    <w:trPr>
                      <w:jc w:val="right"/>
                    </w:trPr>
                    <w:tc>
                      <w:tcPr>
                        <w:tcW w:w="4137" w:type="pct"/>
                      </w:tcPr>
                      <w:p w:rsidR="00F6520B" w:rsidRPr="006E5C05" w:rsidRDefault="00F652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7, שר המשפטים רשאי להוסיף על התוספת.</w:t>
                        </w:r>
                      </w:p>
                    </w:tc>
                    <w:tc>
                      <w:tcPr>
                        <w:tcW w:w="863" w:type="pct"/>
                      </w:tcPr>
                      <w:p w:rsidR="00F6520B" w:rsidRPr="006E5C05" w:rsidRDefault="00F652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שינוי התוספת</w:t>
                        </w:r>
                      </w:p>
                    </w:tc>
                  </w:tr>
                  <w:tr w:rsidR="00F6520B" w:rsidRPr="006E5C05">
                    <w:trPr>
                      <w:jc w:val="right"/>
                    </w:trPr>
                    <w:tc>
                      <w:tcPr>
                        <w:tcW w:w="4137" w:type="pct"/>
                      </w:tcPr>
                      <w:p w:rsidR="00F6520B" w:rsidRDefault="00F652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שר המשפטים ממונה על ביצוע חוק זה, והוא רשאי להתקין תקנות לביצועו' ובהן</w:t>
                        </w:r>
                      </w:p>
                      <w:p w:rsidR="00F6520B" w:rsidRPr="006E5C05" w:rsidRDefault="00F652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 בדבר אישור בית המשפט לפי סעיף .5</w:t>
                        </w:r>
                      </w:p>
                    </w:tc>
                    <w:tc>
                      <w:tcPr>
                        <w:tcW w:w="863" w:type="pct"/>
                      </w:tcPr>
                      <w:p w:rsidR="00F6520B" w:rsidRPr="006E5C05" w:rsidRDefault="00F652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</w:tr>
                </w:tbl>
                <w:p w:rsidR="00F6520B" w:rsidRDefault="00F6520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5683" o:spid="_x0000_s1028" type="#_x0000_t202" style="position:absolute;left:0;text-align:left;margin-left:126pt;margin-top:73.05pt;width:286.7pt;height:30.3pt;z-index:1;mso-position-horizontal-relative:page;mso-position-vertical-relative:page" stroked="f">
            <v:textbox style="mso-next-textbox:#_x0000_s25683" inset="0,0,0,0">
              <w:txbxContent>
                <w:p w:rsidR="00F6520B" w:rsidRPr="006E5C05" w:rsidRDefault="00F6520B">
                  <w:pPr>
                    <w:pStyle w:val="OCRStyle1"/>
                    <w:ind w:left="158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שיפוט המשמעת (משפט חוזר), תשכ''א-1961 *</w:t>
                  </w:r>
                </w:p>
              </w:txbxContent>
            </v:textbox>
            <w10:wrap anchorx="page" anchory="page"/>
          </v:shape>
        </w:pict>
      </w:r>
    </w:p>
    <w:p w:rsidR="00F6520B" w:rsidRDefault="00F6520B">
      <w:pPr>
        <w:rPr>
          <w:rtl/>
        </w:rPr>
      </w:pPr>
      <w:r>
        <w:rPr>
          <w:rtl/>
        </w:rPr>
        <w:br w:type="page"/>
      </w:r>
    </w:p>
    <w:p w:rsidR="00F6520B" w:rsidRDefault="00000000">
      <w:pPr>
        <w:rPr>
          <w:rtl/>
        </w:rPr>
      </w:pPr>
      <w:r>
        <w:pict>
          <v:shape id="_x0000_s25684" o:spid="_x0000_s1029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25684" inset="0,0,0,0">
              <w:txbxContent>
                <w:p w:rsidR="00F6520B" w:rsidRDefault="00F6520B">
                  <w:r>
                    <w:rPr>
                      <w:rtl/>
                    </w:rPr>
                    <w:t>57                                           ספר החוקים 332                   ו' בניסן התשכ"א 23.03.1961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25685" o:spid="_x0000_s1030" type="#_x0000_t202" style="position:absolute;left:0;text-align:left;margin-left:348.3pt;margin-top:542pt;width:207.5pt;height:209.3pt;z-index:10;mso-position-horizontal-relative:page;mso-position-vertical-relative:page" stroked="f">
            <v:textbox style="mso-next-textbox:#_x0000_s25685" inset="0,0,0,0">
              <w:txbxContent>
                <w:p w:rsidR="00F6520B" w:rsidRDefault="00F6520B">
                  <w:pPr>
                    <w:pStyle w:val="OCRStyle2"/>
                    <w:ind w:left="418"/>
                    <w:rPr>
                      <w:rtl/>
                    </w:rPr>
                  </w:pPr>
                  <w:r>
                    <w:rPr>
                      <w:rtl/>
                    </w:rPr>
                    <w:t>1 ס"ח 139, תשי''ג, עמ' 149.</w:t>
                  </w:r>
                </w:p>
                <w:p w:rsidR="00F6520B" w:rsidRDefault="00F6520B">
                  <w:pPr>
                    <w:pStyle w:val="OCRStyle2"/>
                    <w:ind w:left="41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179, תשט''ו, עמ' .68</w:t>
                  </w:r>
                </w:p>
                <w:p w:rsidR="00F6520B" w:rsidRDefault="00F6520B">
                  <w:pPr>
                    <w:pStyle w:val="OCRStyle2"/>
                    <w:ind w:left="41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ס''ח 189, תשט''ו, עמ' .171</w:t>
                  </w:r>
                </w:p>
                <w:p w:rsidR="00F6520B" w:rsidRDefault="00F6520B">
                  <w:pPr>
                    <w:pStyle w:val="OCRStyle2"/>
                    <w:ind w:left="41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 חוקי א''י, כרך ב', פרק קי"ב, עמי .1124</w:t>
                  </w:r>
                </w:p>
                <w:p w:rsidR="00F6520B" w:rsidRDefault="00F6520B">
                  <w:pPr>
                    <w:pStyle w:val="OCRStyle2"/>
                    <w:ind w:left="42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5 ע''ר 1946, תוס' 1 מס' 1472, עמ' .6</w:t>
                  </w:r>
                </w:p>
                <w:p w:rsidR="00F6520B" w:rsidRDefault="00F6520B">
                  <w:pPr>
                    <w:pStyle w:val="OCRStyle2"/>
                    <w:ind w:left="42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6 ס"ח 250, תשי"ח, עמ' .108</w:t>
                  </w:r>
                </w:p>
                <w:p w:rsidR="00F6520B" w:rsidRDefault="00F6520B">
                  <w:pPr>
                    <w:pStyle w:val="OCRStyle2"/>
                    <w:ind w:left="42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7 ס"ח 43, תש"י, עמ' 141; ס''ח 193, תשט''ז, עמ' .22</w:t>
                  </w:r>
                </w:p>
                <w:p w:rsidR="00F6520B" w:rsidRDefault="00F6520B">
                  <w:pPr>
                    <w:pStyle w:val="OCRStyle2"/>
                    <w:ind w:left="42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8 ע''ר 1938, תוס' 1 מס' 243, עמ' .75</w:t>
                  </w:r>
                </w:p>
                <w:p w:rsidR="00F6520B" w:rsidRDefault="00F6520B">
                  <w:pPr>
                    <w:pStyle w:val="OCRStyle2"/>
                    <w:ind w:left="42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9 ע''ר 1947, חוסי 1 מס' 1637, עמ' .262</w:t>
                  </w:r>
                </w:p>
                <w:p w:rsidR="00F6520B" w:rsidRDefault="00F6520B">
                  <w:pPr>
                    <w:pStyle w:val="OCRStyle2"/>
                    <w:ind w:left="41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10 ע"ר 1945, תוס' 1 מס' 1395, עמי .1</w:t>
                  </w:r>
                </w:p>
                <w:p w:rsidR="00F6520B" w:rsidRDefault="00F6520B">
                  <w:pPr>
                    <w:pStyle w:val="OCRStyle2"/>
                    <w:ind w:left="42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11 חוקי א"י, כרך ב', פרק קמ"ה, עמ' ,1502</w:t>
                  </w:r>
                </w:p>
                <w:p w:rsidR="00F6520B" w:rsidRDefault="00F6520B">
                  <w:pPr>
                    <w:pStyle w:val="OCRStyle2"/>
                    <w:ind w:left="41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12 חוקי א"י, כרך ב' פרק ק"ו, עמ' 1102</w:t>
                  </w:r>
                </w:p>
                <w:p w:rsidR="00F6520B" w:rsidRDefault="00F6520B">
                  <w:pPr>
                    <w:pStyle w:val="OCRStyle2"/>
                    <w:ind w:left="41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13 ס"ח 173, תשט"ו, עמ' .26</w:t>
                  </w:r>
                </w:p>
                <w:p w:rsidR="00F6520B" w:rsidRDefault="00F6520B">
                  <w:pPr>
                    <w:pStyle w:val="OCRStyle2"/>
                    <w:ind w:left="41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14 ע''ר 1947, תוס' 1 מס' 1606, עמ' .187</w:t>
                  </w:r>
                </w:p>
                <w:p w:rsidR="00F6520B" w:rsidRPr="00F6520B" w:rsidRDefault="00F6520B">
                  <w:pPr>
                    <w:pStyle w:val="OCRStyle2"/>
                    <w:ind w:left="407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15 ס''ח 223, תשי"ז, עמ' 47; ס"ח 308, תש"ך, עמ' .34</w:t>
                  </w:r>
                </w:p>
              </w:txbxContent>
            </v:textbox>
            <w10:wrap anchorx="page" anchory="page"/>
          </v:shape>
        </w:pict>
      </w:r>
      <w:r>
        <w:pict>
          <v:shape id="_x0000_s25686" o:spid="_x0000_s1031" type="#_x0000_t202" style="position:absolute;left:0;text-align:left;margin-left:190.85pt;margin-top:476.3pt;width:83.35pt;height:29.7pt;z-index:9;mso-position-horizontal-relative:page;mso-position-vertical-relative:page" stroked="f">
            <v:textbox style="mso-next-textbox:#_x0000_s25686" inset="0,0,0,0">
              <w:txbxContent>
                <w:p w:rsidR="00F6520B" w:rsidRDefault="00F6520B">
                  <w:pPr>
                    <w:pStyle w:val="OCRStyle2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פנחס רוזן</w:t>
                  </w:r>
                </w:p>
                <w:p w:rsidR="00F6520B" w:rsidRDefault="00F6520B">
                  <w:pPr>
                    <w:pStyle w:val="OCRStyle2"/>
                    <w:ind w:left="209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5687" o:spid="_x0000_s1032" type="#_x0000_t202" style="position:absolute;left:0;text-align:left;margin-left:298.8pt;margin-top:473.7pt;width:106.35pt;height:32.25pt;z-index:8;mso-position-horizontal-relative:page;mso-position-vertical-relative:page" stroked="f">
            <v:textbox style="mso-next-textbox:#_x0000_s25687" inset="0,0,0,0">
              <w:txbxContent>
                <w:p w:rsidR="00F6520B" w:rsidRDefault="00F6520B">
                  <w:pPr>
                    <w:pStyle w:val="OCRStyle2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F6520B" w:rsidRDefault="00F6520B">
                  <w:pPr>
                    <w:pStyle w:val="OCRStyle2"/>
                    <w:ind w:left="41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5688" o:spid="_x0000_s1033" type="#_x0000_t202" style="position:absolute;left:0;text-align:left;margin-left:430.05pt;margin-top:504.2pt;width:94.65pt;height:29.3pt;z-index:7;mso-position-horizontal-relative:page;mso-position-vertical-relative:page" stroked="f">
            <v:textbox style="mso-next-textbox:#_x0000_s25688" inset="0,0,0,0">
              <w:txbxContent>
                <w:p w:rsidR="00F6520B" w:rsidRDefault="00F6520B">
                  <w:pPr>
                    <w:pStyle w:val="OCRStyle2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יצחק בן - צ ב י</w:t>
                  </w:r>
                </w:p>
                <w:p w:rsidR="00F6520B" w:rsidRDefault="00F6520B">
                  <w:pPr>
                    <w:pStyle w:val="OCRStyle2"/>
                    <w:ind w:left="33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5689" o:spid="_x0000_s1034" type="#_x0000_t202" style="position:absolute;left:0;text-align:left;margin-left:159.4pt;margin-top:107pt;width:399.35pt;height:352.85pt;z-index:6;mso-position-horizontal-relative:page;mso-position-vertical-relative:page" stroked="f">
            <v:textbox style="mso-next-textbox:#_x0000_s25689" inset="0,0,0,0">
              <w:txbxContent>
                <w:tbl>
                  <w:tblPr>
                    <w:tblW w:w="441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909"/>
                    <w:gridCol w:w="4352"/>
                  </w:tblGrid>
                  <w:tr w:rsidR="00F6520B">
                    <w:trPr>
                      <w:jc w:val="right"/>
                    </w:trPr>
                    <w:tc>
                      <w:tcPr>
                        <w:tcW w:w="2003" w:type="pct"/>
                      </w:tcPr>
                      <w:p w:rsidR="00F6520B" w:rsidRDefault="00F652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טור ב'</w:t>
                        </w:r>
                      </w:p>
                    </w:tc>
                    <w:tc>
                      <w:tcPr>
                        <w:tcW w:w="2997" w:type="pct"/>
                      </w:tcPr>
                      <w:p w:rsidR="00F6520B" w:rsidRDefault="00F652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טור א'</w:t>
                        </w:r>
                      </w:p>
                    </w:tc>
                  </w:tr>
                  <w:tr w:rsidR="00F6520B">
                    <w:trPr>
                      <w:jc w:val="right"/>
                    </w:trPr>
                    <w:tc>
                      <w:tcPr>
                        <w:tcW w:w="2003" w:type="pct"/>
                      </w:tcPr>
                      <w:p w:rsidR="00F6520B" w:rsidRDefault="00F652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נשיא בית המשפט העליון או</w:t>
                        </w:r>
                      </w:p>
                      <w:p w:rsidR="00F6520B" w:rsidRDefault="00F652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ממלא מקומו הקבוע.</w:t>
                        </w:r>
                      </w:p>
                    </w:tc>
                    <w:tc>
                      <w:tcPr>
                        <w:tcW w:w="2997" w:type="pct"/>
                      </w:tcPr>
                      <w:p w:rsidR="00F6520B" w:rsidRDefault="00F652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הפרק הרביעי לחוק השופטים, תשי"ג-1953 1</w:t>
                        </w:r>
                      </w:p>
                    </w:tc>
                  </w:tr>
                  <w:tr w:rsidR="00F6520B">
                    <w:trPr>
                      <w:jc w:val="right"/>
                    </w:trPr>
                    <w:tc>
                      <w:tcPr>
                        <w:tcW w:w="2003" w:type="pct"/>
                      </w:tcPr>
                      <w:p w:rsidR="00F6520B" w:rsidRDefault="00F652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אחד מן הרבנים הראשיים</w:t>
                        </w:r>
                      </w:p>
                      <w:p w:rsidR="00F6520B" w:rsidRDefault="00F652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לישראל.</w:t>
                        </w:r>
                      </w:p>
                    </w:tc>
                    <w:tc>
                      <w:tcPr>
                        <w:tcW w:w="2997" w:type="pct"/>
                      </w:tcPr>
                      <w:p w:rsidR="00F6520B" w:rsidRDefault="00F652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סעיפים 20 עד 22 לחוק הדיינים. תשט"ו-21955</w:t>
                        </w:r>
                      </w:p>
                    </w:tc>
                  </w:tr>
                  <w:tr w:rsidR="00F6520B">
                    <w:trPr>
                      <w:jc w:val="right"/>
                    </w:trPr>
                    <w:tc>
                      <w:tcPr>
                        <w:tcW w:w="2003" w:type="pct"/>
                      </w:tcPr>
                      <w:p w:rsidR="00F6520B" w:rsidRDefault="00F652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הבטחון.</w:t>
                        </w:r>
                      </w:p>
                    </w:tc>
                    <w:tc>
                      <w:tcPr>
                        <w:tcW w:w="2997" w:type="pct"/>
                      </w:tcPr>
                      <w:p w:rsidR="00F6520B" w:rsidRDefault="00F652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סעיף 191 לחוק השיפוט הצבאי, תשט"ו-31955</w:t>
                        </w:r>
                      </w:p>
                    </w:tc>
                  </w:tr>
                  <w:tr w:rsidR="00F6520B">
                    <w:trPr>
                      <w:jc w:val="right"/>
                    </w:trPr>
                    <w:tc>
                      <w:tcPr>
                        <w:tcW w:w="2003" w:type="pct"/>
                      </w:tcPr>
                      <w:p w:rsidR="00F6520B" w:rsidRDefault="00F652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המשטרה- מקום שפסק</w:t>
                        </w:r>
                      </w:p>
                      <w:p w:rsidR="00F6520B" w:rsidRDefault="00F652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 הראשון היה טעון אישורו;</w:t>
                        </w:r>
                      </w:p>
                      <w:p w:rsidR="00F6520B" w:rsidRDefault="00F652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המפקח הכללי של המשטרה -</w:t>
                        </w:r>
                      </w:p>
                      <w:p w:rsidR="00F6520B" w:rsidRDefault="00F652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בכל מקרה אחר.</w:t>
                        </w:r>
                      </w:p>
                    </w:tc>
                    <w:tc>
                      <w:tcPr>
                        <w:tcW w:w="2997" w:type="pct"/>
                      </w:tcPr>
                      <w:p w:rsidR="00F6520B" w:rsidRDefault="00F652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סעיפים 17 ו-18 לפקודת המשטרה4</w:t>
                        </w:r>
                      </w:p>
                    </w:tc>
                  </w:tr>
                  <w:tr w:rsidR="00F6520B">
                    <w:trPr>
                      <w:jc w:val="right"/>
                    </w:trPr>
                    <w:tc>
                      <w:tcPr>
                        <w:tcW w:w="2003" w:type="pct"/>
                      </w:tcPr>
                      <w:p w:rsidR="00F6520B" w:rsidRDefault="00F652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המשטרה.</w:t>
                        </w:r>
                      </w:p>
                    </w:tc>
                    <w:tc>
                      <w:tcPr>
                        <w:tcW w:w="2997" w:type="pct"/>
                      </w:tcPr>
                      <w:p w:rsidR="00F6520B" w:rsidRDefault="00F652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סעיף 33 לפקודת בתי הסוהר, 31946</w:t>
                        </w:r>
                      </w:p>
                    </w:tc>
                  </w:tr>
                  <w:tr w:rsidR="00F6520B">
                    <w:trPr>
                      <w:jc w:val="right"/>
                    </w:trPr>
                    <w:tc>
                      <w:tcPr>
                        <w:tcW w:w="2003" w:type="pct"/>
                      </w:tcPr>
                      <w:p w:rsidR="00F6520B" w:rsidRDefault="00F652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השר הממונה על ביצוע החוק*</w:t>
                        </w:r>
                      </w:p>
                    </w:tc>
                    <w:tc>
                      <w:tcPr>
                        <w:tcW w:w="2997" w:type="pct"/>
                      </w:tcPr>
                      <w:p w:rsidR="00F6520B" w:rsidRDefault="00F652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סעיפים 16 ו-17 לחוק המהנדסים והאדריכלים,</w:t>
                        </w:r>
                      </w:p>
                      <w:p w:rsidR="00F6520B" w:rsidRDefault="00F652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תשי"ח-61958</w:t>
                        </w:r>
                      </w:p>
                    </w:tc>
                  </w:tr>
                  <w:tr w:rsidR="00F6520B">
                    <w:trPr>
                      <w:jc w:val="right"/>
                    </w:trPr>
                    <w:tc>
                      <w:tcPr>
                        <w:tcW w:w="2003" w:type="pct"/>
                      </w:tcPr>
                      <w:p w:rsidR="00F6520B" w:rsidRDefault="00F652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יושב ראש ועדת ההמלצות.</w:t>
                        </w:r>
                      </w:p>
                    </w:tc>
                    <w:tc>
                      <w:tcPr>
                        <w:tcW w:w="2997" w:type="pct"/>
                      </w:tcPr>
                      <w:p w:rsidR="00F6520B" w:rsidRDefault="00F652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סעיף 5א לחוק נוטריונים למסמכים יוצאי-חוץ,</w:t>
                        </w:r>
                      </w:p>
                      <w:p w:rsidR="00F6520B" w:rsidRDefault="00F652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תש"י- 1950 7</w:t>
                        </w:r>
                      </w:p>
                    </w:tc>
                  </w:tr>
                  <w:tr w:rsidR="00F6520B">
                    <w:trPr>
                      <w:jc w:val="right"/>
                    </w:trPr>
                    <w:tc>
                      <w:tcPr>
                        <w:tcW w:w="2003" w:type="pct"/>
                      </w:tcPr>
                      <w:p w:rsidR="00F6520B" w:rsidRDefault="00F652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יושב ראש המועצה המשפטית,</w:t>
                        </w:r>
                      </w:p>
                    </w:tc>
                    <w:tc>
                      <w:tcPr>
                        <w:tcW w:w="2997" w:type="pct"/>
                      </w:tcPr>
                      <w:p w:rsidR="00F6520B" w:rsidRDefault="00F652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סעיף 20 לפקודת עורכי הדין, 81938</w:t>
                        </w:r>
                      </w:p>
                    </w:tc>
                  </w:tr>
                  <w:tr w:rsidR="00F6520B">
                    <w:trPr>
                      <w:jc w:val="right"/>
                    </w:trPr>
                    <w:tc>
                      <w:tcPr>
                        <w:tcW w:w="2003" w:type="pct"/>
                      </w:tcPr>
                      <w:p w:rsidR="00F6520B" w:rsidRDefault="00F652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הבריאות.</w:t>
                        </w:r>
                      </w:p>
                      <w:p w:rsidR="00F6520B" w:rsidRDefault="00F652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הבריאות</w:t>
                        </w:r>
                      </w:p>
                      <w:p w:rsidR="00F6520B" w:rsidRDefault="00F652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החקלאות.</w:t>
                        </w:r>
                      </w:p>
                      <w:p w:rsidR="00F6520B" w:rsidRDefault="00F652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הבריאות.</w:t>
                        </w:r>
                      </w:p>
                      <w:p w:rsidR="00F6520B" w:rsidRDefault="00F652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יושב ראש מועצת רואי חשבון.</w:t>
                        </w:r>
                      </w:p>
                      <w:p w:rsidR="00F6520B" w:rsidRDefault="00F652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המשפטים, -</w:t>
                        </w:r>
                      </w:p>
                    </w:tc>
                    <w:tc>
                      <w:tcPr>
                        <w:tcW w:w="2997" w:type="pct"/>
                      </w:tcPr>
                      <w:p w:rsidR="00F6520B" w:rsidRDefault="00F652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סעיף 9 לפקודת הרופאים, 91947</w:t>
                        </w:r>
                      </w:p>
                      <w:p w:rsidR="00F6520B" w:rsidRDefault="00F652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(10) סעיף 8 לפקודת רופאי השיניים, 101945</w:t>
                        </w:r>
                      </w:p>
                      <w:p w:rsidR="00F6520B" w:rsidRDefault="00F652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(11) סעיף 6 לפקודת הרופאים הוטרינריים"</w:t>
                        </w:r>
                      </w:p>
                      <w:p w:rsidR="00F6520B" w:rsidRDefault="00F652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(12) סעיף 45 לפקודת הרוקחים12</w:t>
                        </w:r>
                      </w:p>
                      <w:p w:rsidR="00F6520B" w:rsidRDefault="00F652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(13) סעיף 12 לחוק רואי חשבון, תשט"ו-131955</w:t>
                        </w:r>
                      </w:p>
                      <w:p w:rsidR="00F6520B" w:rsidRDefault="00F652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(14) סעיף 7 לפקודת מעריכי קרקע, 1947"</w:t>
                        </w:r>
                      </w:p>
                    </w:tc>
                  </w:tr>
                  <w:tr w:rsidR="00F6520B">
                    <w:trPr>
                      <w:jc w:val="right"/>
                    </w:trPr>
                    <w:tc>
                      <w:tcPr>
                        <w:tcW w:w="2003" w:type="pct"/>
                      </w:tcPr>
                      <w:p w:rsidR="00F6520B" w:rsidRDefault="00F652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המשפטים.</w:t>
                        </w:r>
                      </w:p>
                    </w:tc>
                    <w:tc>
                      <w:tcPr>
                        <w:tcW w:w="2997" w:type="pct"/>
                      </w:tcPr>
                      <w:p w:rsidR="00F6520B" w:rsidRDefault="00F652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(15) סעיפים 16ב עד 16 יא לחוק התביעות של</w:t>
                        </w:r>
                      </w:p>
                      <w:p w:rsidR="00F6520B" w:rsidRDefault="00F652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קרבנות השואה (הסדר הטיפול), תשי"ז-151957</w:t>
                        </w:r>
                      </w:p>
                    </w:tc>
                  </w:tr>
                </w:tbl>
                <w:p w:rsidR="00F6520B" w:rsidRDefault="00F6520B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5690" o:spid="_x0000_s1035" type="#_x0000_t202" style="position:absolute;left:0;text-align:left;margin-left:335.2pt;margin-top:78.1pt;width:46.95pt;height:24.75pt;z-index:5;mso-position-horizontal-relative:page;mso-position-vertical-relative:page" stroked="f">
            <v:textbox style="mso-next-textbox:#_x0000_s25690" inset="0,0,0,0">
              <w:txbxContent>
                <w:p w:rsidR="00F6520B" w:rsidRPr="00F6520B" w:rsidRDefault="00F6520B">
                  <w:pPr>
                    <w:pStyle w:val="OCRStyle2"/>
                    <w:ind w:left="104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תוספת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6E5C0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E5C0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494E889-58A9-4B0A-82A8-556C1B9A1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E5C05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F6520B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4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2008-04-06T19:39:00Z</dcterms:created>
  <dcterms:modified xsi:type="dcterms:W3CDTF">2008-04-06T19:39:00Z</dcterms:modified>
</cp:coreProperties>
</file>