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C50CA" w:rsidRDefault="004C50CA">
      <w:pPr>
        <w:rPr>
          <w:rtl/>
        </w:rPr>
      </w:pPr>
    </w:p>
    <w:p w:rsidR="004C50C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5775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5775" inset="0,0,0,0">
              <w:txbxContent>
                <w:p w:rsidR="004C50CA" w:rsidRDefault="004C50CA">
                  <w:r>
                    <w:rPr>
                      <w:rtl/>
                    </w:rPr>
                    <w:t>22                                           ספר החוקים 875                  ז' בכסליו התשל"ח 17.11.1977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25776" o:spid="_x0000_s1026" type="#_x0000_t202" style="position:absolute;left:0;text-align:left;margin-left:89.65pt;margin-top:285.15pt;width:380.95pt;height:69.9pt;z-index:6;mso-position-horizontal-relative:page;mso-position-vertical-relative:page" stroked="f">
            <v:textbox style="mso-next-textbox:#_x0000_s25776" inset="0,0,0,0">
              <w:txbxContent>
                <w:p w:rsidR="004C50CA" w:rsidRDefault="004C50CA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כ"ו בחשון תשל"ח (7 בנובמבר 1977); הצעת החוק ודברי הסבר פורסמו בה"ח 1176/ תשל"ה,</w:t>
                  </w:r>
                </w:p>
                <w:p w:rsidR="004C50CA" w:rsidRPr="004C50CA" w:rsidRDefault="004C50CA">
                  <w:pPr>
                    <w:pStyle w:val="OCRStyle1"/>
                    <w:ind w:left="31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224. 1 ס"ח תשי"ג, עמ' 149; תשייט, עמ' 134; תשכ"ד, עמ' 140; תשכ"ט, עמי 98.</w:t>
                  </w:r>
                </w:p>
              </w:txbxContent>
            </v:textbox>
            <w10:wrap anchorx="page" anchory="page"/>
          </v:shape>
        </w:pict>
      </w:r>
      <w:r>
        <w:pict>
          <v:shape id="_x0000_s25777" o:spid="_x0000_s1027" type="#_x0000_t202" style="position:absolute;left:0;text-align:left;margin-left:104.1pt;margin-top:223.6pt;width:111.1pt;height:38.8pt;z-index:5;mso-position-horizontal-relative:page;mso-position-vertical-relative:page" stroked="f">
            <v:textbox style="mso-next-textbox:#_x0000_s25777" inset="0,0,0,0">
              <w:txbxContent>
                <w:p w:rsidR="004C50CA" w:rsidRDefault="004C50CA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שמואל תמיר</w:t>
                  </w:r>
                </w:p>
                <w:p w:rsidR="004C50CA" w:rsidRDefault="004C50CA">
                  <w:pPr>
                    <w:pStyle w:val="OCRStyle1"/>
                    <w:ind w:left="443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5778" o:spid="_x0000_s1028" type="#_x0000_t202" style="position:absolute;left:0;text-align:left;margin-left:240.5pt;margin-top:222pt;width:85.15pt;height:41.2pt;z-index:4;mso-position-horizontal-relative:page;mso-position-vertical-relative:page" stroked="f">
            <v:textbox style="mso-next-textbox:#_x0000_s25778" inset="0,0,0,0">
              <w:txbxContent>
                <w:p w:rsidR="004C50CA" w:rsidRDefault="004C50CA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4C50CA" w:rsidRDefault="004C50CA">
                  <w:pPr>
                    <w:pStyle w:val="OCRStyle1"/>
                    <w:ind w:left="25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779" o:spid="_x0000_s1029" type="#_x0000_t202" style="position:absolute;left:0;text-align:left;margin-left:372.8pt;margin-top:250.5pt;width:109.5pt;height:32.85pt;z-index:3;mso-position-horizontal-relative:page;mso-position-vertical-relative:page" stroked="f">
            <v:textbox style="mso-next-textbox:#_x0000_s25779" inset="0,0,0,0">
              <w:txbxContent>
                <w:p w:rsidR="004C50CA" w:rsidRDefault="004C50CA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4C50CA" w:rsidRDefault="004C50CA">
                  <w:pPr>
                    <w:pStyle w:val="OCRStyle1"/>
                    <w:ind w:left="34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780" o:spid="_x0000_s1030" type="#_x0000_t202" style="position:absolute;left:0;text-align:left;margin-left:82.9pt;margin-top:114.1pt;width:477pt;height:98.6pt;z-index:2;mso-position-horizontal-relative:page;mso-position-vertical-relative:page" stroked="f">
            <v:textbox style="mso-next-textbox:#_x0000_s25780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87"/>
                    <w:gridCol w:w="1091"/>
                    <w:gridCol w:w="1497"/>
                  </w:tblGrid>
                  <w:tr w:rsidR="004C50CA" w:rsidRPr="004C50CA">
                    <w:trPr>
                      <w:jc w:val="right"/>
                    </w:trPr>
                    <w:tc>
                      <w:tcPr>
                        <w:tcW w:w="4137" w:type="pct"/>
                        <w:gridSpan w:val="2"/>
                      </w:tcPr>
                      <w:p w:rsidR="004C50CA" w:rsidRPr="004C50CA" w:rsidRDefault="004C50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בחוק השופטים, תשי"ג-1953 1, אחרי סעיף 17 יבוא:</w:t>
                        </w:r>
                      </w:p>
                    </w:tc>
                    <w:tc>
                      <w:tcPr>
                        <w:tcW w:w="863" w:type="pct"/>
                      </w:tcPr>
                      <w:p w:rsidR="004C50CA" w:rsidRPr="004C50CA" w:rsidRDefault="004C50C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מעיף 17א</w:t>
                        </w:r>
                      </w:p>
                    </w:tc>
                  </w:tr>
                  <w:tr w:rsidR="004C50CA">
                    <w:trPr>
                      <w:jc w:val="right"/>
                    </w:trPr>
                    <w:tc>
                      <w:tcPr>
                        <w:tcW w:w="3508" w:type="pct"/>
                      </w:tcPr>
                      <w:p w:rsidR="004C50CA" w:rsidRDefault="004C50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17א. מקום ששר הוסמך בחיקוק למנות שופט או מי שכשיר להיות</w:t>
                        </w:r>
                      </w:p>
                      <w:p w:rsidR="004C50CA" w:rsidRDefault="004C50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שופט ליושב ראש של ועדה או של גוף אחר, רשאי השר, לאחר התיי-</w:t>
                        </w:r>
                      </w:p>
                      <w:p w:rsidR="004C50CA" w:rsidRDefault="004C50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עצות בנשיא בית המשפט העליון ובהסכמת המועמד, למנות לכך, לתקופה</w:t>
                        </w:r>
                      </w:p>
                      <w:p w:rsidR="004C50CA" w:rsidRDefault="004C50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שיקבע, מי שהיה שופט כמפורש בחיקוק ויצא לגמלאות או פרש, ורשאי</w:t>
                        </w:r>
                      </w:p>
                      <w:p w:rsidR="004C50CA" w:rsidRDefault="004C50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 למנות כאמור, בהסכמת המועמד, מי שהיה שופט של ערכאה גבוהה</w:t>
                        </w:r>
                      </w:p>
                      <w:p w:rsidR="004C50CA" w:rsidRDefault="004C50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מזו שפורשה בחיקוק,"</w:t>
                        </w:r>
                      </w:p>
                    </w:tc>
                    <w:tc>
                      <w:tcPr>
                        <w:tcW w:w="629" w:type="pct"/>
                      </w:tcPr>
                      <w:p w:rsidR="004C50CA" w:rsidRDefault="004C50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"מינוי שופט</w:t>
                        </w:r>
                      </w:p>
                      <w:p w:rsidR="004C50CA" w:rsidRPr="004C50CA" w:rsidRDefault="004C50C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לשעבר</w:t>
                        </w:r>
                      </w:p>
                    </w:tc>
                    <w:tc>
                      <w:tcPr>
                        <w:tcW w:w="863" w:type="pct"/>
                      </w:tcPr>
                      <w:p w:rsidR="004C50CA" w:rsidRDefault="004C50C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4C50CA" w:rsidRDefault="004C50C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5781" o:spid="_x0000_s1031" type="#_x0000_t202" style="position:absolute;left:0;text-align:left;margin-left:157.95pt;margin-top:86.4pt;width:255.2pt;height:26.95pt;z-index:1;mso-position-horizontal-relative:page;mso-position-vertical-relative:page" stroked="f">
            <v:textbox style="mso-next-textbox:#_x0000_s25781" inset="0,0,0,0">
              <w:txbxContent>
                <w:p w:rsidR="004C50CA" w:rsidRPr="004C50CA" w:rsidRDefault="004C50CA">
                  <w:pPr>
                    <w:pStyle w:val="OCRStyle1"/>
                    <w:ind w:left="27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השופטים (תיקון מס' 4), תשל"ח-1977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C50C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C50C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627CBB6-2050-4F65-9AEA-56A3AC2EF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C50C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2008-04-06T23:30:00Z</dcterms:created>
  <dcterms:modified xsi:type="dcterms:W3CDTF">2008-04-06T23:30:00Z</dcterms:modified>
</cp:coreProperties>
</file>