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66D5" w:rsidRDefault="007566D5">
      <w:pPr>
        <w:rPr>
          <w:rtl/>
        </w:rPr>
      </w:pPr>
    </w:p>
    <w:p w:rsidR="007566D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87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878" inset="0,0,0,0">
              <w:txbxContent>
                <w:p w:rsidR="007566D5" w:rsidRDefault="007566D5">
                  <w:r>
                    <w:rPr>
                      <w:rtl/>
                    </w:rPr>
                    <w:t>202                                          ספר החוקים 707                  כ"ו בתמוז התשל"ג 26.07.1973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79" o:spid="_x0000_s1026" type="#_x0000_t202" style="position:absolute;left:0;text-align:left;margin-left:73.25pt;margin-top:320.4pt;width:368.5pt;height:169.7pt;z-index:6;mso-position-horizontal-relative:page;mso-position-vertical-relative:page" stroked="f">
            <v:textbox style="mso-next-textbox:#_x0000_s25879" inset="0,0,0,0">
              <w:txbxContent>
                <w:p w:rsidR="007566D5" w:rsidRDefault="007566D5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בתמוז תשל"ג (17 ביולי 1973); הגעת החוק ודברי הסבר פורסמו בה"ח 1072,תשל''ג,</w:t>
                  </w:r>
                </w:p>
                <w:p w:rsidR="007566D5" w:rsidRDefault="007566D5">
                  <w:pPr>
                    <w:pStyle w:val="OCRStyle1"/>
                    <w:ind w:left="3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361.</w:t>
                  </w:r>
                </w:p>
                <w:p w:rsidR="007566D5" w:rsidRPr="007566D5" w:rsidRDefault="007566D5">
                  <w:pPr>
                    <w:pStyle w:val="OCRStyle1"/>
                    <w:ind w:left="2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תשכ"ד, עמ' 166; תשכ"ט, עמי 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80" o:spid="_x0000_s1027" type="#_x0000_t202" style="position:absolute;left:0;text-align:left;margin-left:86.9pt;margin-top:244.8pt;width:94.85pt;height:30.1pt;z-index:5;mso-position-horizontal-relative:page;mso-position-vertical-relative:page" stroked="f">
            <v:textbox style="mso-next-textbox:#_x0000_s25880" inset="0,0,0,0">
              <w:txbxContent>
                <w:p w:rsidR="007566D5" w:rsidRDefault="007566D5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7566D5" w:rsidRDefault="007566D5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81" o:spid="_x0000_s1028" type="#_x0000_t202" style="position:absolute;left:0;text-align:left;margin-left:208.25pt;margin-top:245.6pt;width:98.2pt;height:31.9pt;z-index:4;mso-position-horizontal-relative:page;mso-position-vertical-relative:page" stroked="f">
            <v:textbox style="mso-next-textbox:#_x0000_s25881" inset="0,0,0,0">
              <w:txbxContent>
                <w:p w:rsidR="007566D5" w:rsidRDefault="007566D5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566D5" w:rsidRDefault="007566D5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82" o:spid="_x0000_s1029" type="#_x0000_t202" style="position:absolute;left:0;text-align:left;margin-left:354.6pt;margin-top:273.1pt;width:94.85pt;height:33.65pt;z-index:3;mso-position-horizontal-relative:page;mso-position-vertical-relative:page" stroked="f">
            <v:textbox style="mso-next-textbox:#_x0000_s25882" inset="0,0,0,0">
              <w:txbxContent>
                <w:p w:rsidR="007566D5" w:rsidRDefault="007566D5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אפריט קציר</w:t>
                  </w:r>
                </w:p>
                <w:p w:rsidR="007566D5" w:rsidRDefault="007566D5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83" o:spid="_x0000_s1030" type="#_x0000_t202" style="position:absolute;left:0;text-align:left;margin-left:73.25pt;margin-top:136.3pt;width:455.4pt;height:103.35pt;z-index:2;mso-position-horizontal-relative:page;mso-position-vertical-relative:page" stroked="f">
            <v:textbox style="mso-next-textbox:#_x0000_s2588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7"/>
                    <w:gridCol w:w="1194"/>
                    <w:gridCol w:w="1389"/>
                  </w:tblGrid>
                  <w:tr w:rsidR="007566D5" w:rsidRPr="007566D5">
                    <w:trPr>
                      <w:jc w:val="right"/>
                    </w:trPr>
                    <w:tc>
                      <w:tcPr>
                        <w:tcW w:w="4161" w:type="pct"/>
                        <w:gridSpan w:val="2"/>
                      </w:tcPr>
                      <w:p w:rsidR="007566D5" w:rsidRDefault="007566D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סעיף 1 לחוק שכר שווה לעובדת ולעובד, תשכ"ד-1964  1(להלן - החוק</w:t>
                        </w:r>
                      </w:p>
                      <w:p w:rsidR="007566D5" w:rsidRPr="007566D5" w:rsidRDefault="0075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יבוא:</w:t>
                        </w:r>
                      </w:p>
                    </w:tc>
                    <w:tc>
                      <w:tcPr>
                        <w:tcW w:w="839" w:type="pct"/>
                      </w:tcPr>
                      <w:p w:rsidR="007566D5" w:rsidRPr="007566D5" w:rsidRDefault="0075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חחלפת סעיף 1</w:t>
                        </w:r>
                      </w:p>
                    </w:tc>
                  </w:tr>
                  <w:tr w:rsidR="007566D5">
                    <w:trPr>
                      <w:jc w:val="right"/>
                    </w:trPr>
                    <w:tc>
                      <w:tcPr>
                        <w:tcW w:w="3440" w:type="pct"/>
                      </w:tcPr>
                      <w:p w:rsidR="007566D5" w:rsidRDefault="0075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מעביד ישלם לעובדת שכר שווה לשכרו של עובד באותו מקום</w:t>
                        </w:r>
                      </w:p>
                      <w:p w:rsidR="007566D5" w:rsidRPr="007566D5" w:rsidRDefault="0075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בעד אותה עבודה או עבודה שווה בעיקרה."</w:t>
                        </w:r>
                      </w:p>
                    </w:tc>
                    <w:tc>
                      <w:tcPr>
                        <w:tcW w:w="721" w:type="pct"/>
                      </w:tcPr>
                      <w:p w:rsidR="007566D5" w:rsidRPr="007566D5" w:rsidRDefault="0075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שתה</w:t>
                        </w:r>
                      </w:p>
                    </w:tc>
                    <w:tc>
                      <w:tcPr>
                        <w:tcW w:w="839" w:type="pct"/>
                      </w:tcPr>
                      <w:p w:rsidR="007566D5" w:rsidRDefault="007566D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566D5" w:rsidRPr="007566D5">
                    <w:trPr>
                      <w:jc w:val="right"/>
                    </w:trPr>
                    <w:tc>
                      <w:tcPr>
                        <w:tcW w:w="4161" w:type="pct"/>
                        <w:gridSpan w:val="2"/>
                      </w:tcPr>
                      <w:p w:rsidR="007566D5" w:rsidRDefault="0075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כסעיף 3 לחוק העיקרי, במקום הסיטה המתחילה במלים "אם לא שולם" יבוא "מיום</w:t>
                        </w:r>
                      </w:p>
                      <w:p w:rsidR="007566D5" w:rsidRPr="007566D5" w:rsidRDefault="0075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התובענה*.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7566D5" w:rsidRPr="007566D5" w:rsidRDefault="0075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7566D5" w:rsidRDefault="007566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884" o:spid="_x0000_s1031" type="#_x0000_t202" style="position:absolute;left:0;text-align:left;margin-left:95.6pt;margin-top:103.6pt;width:334.8pt;height:26.55pt;z-index:1;mso-position-horizontal-relative:page;mso-position-vertical-relative:page" stroked="f">
            <v:textbox style="mso-next-textbox:#_x0000_s25884" inset="0,0,0,0">
              <w:txbxContent>
                <w:p w:rsidR="007566D5" w:rsidRPr="007566D5" w:rsidRDefault="007566D5">
                  <w:pPr>
                    <w:pStyle w:val="OCRStyle1"/>
                    <w:ind w:left="3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שכר שווה לעובדת ולעובד (תיקון מס'2), תשל"ג-1973*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566D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1E242E5-E303-4783-9F6A-3D62A1831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566D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2008-04-07T11:49:00Z</dcterms:created>
  <dcterms:modified xsi:type="dcterms:W3CDTF">2008-04-07T11:50:00Z</dcterms:modified>
</cp:coreProperties>
</file>