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33B9" w:rsidRDefault="00E333B9">
      <w:pPr>
        <w:rPr>
          <w:rtl/>
        </w:rPr>
      </w:pPr>
    </w:p>
    <w:p w:rsidR="00E333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5938" inset="0,0,0,0">
              <w:txbxContent>
                <w:p w:rsidR="004D4A52" w:rsidRDefault="004D4A52">
                  <w:r>
                    <w:rPr>
                      <w:rtl/>
                    </w:rPr>
                    <w:t>317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9" o:spid="_x0000_s1026" type="#_x0000_t202" style="position:absolute;left:0;text-align:left;margin-left:163.05pt;margin-top:669.7pt;width:393.45pt;height:61.95pt;z-index:3;mso-wrap-style:none;mso-position-horizontal-relative:page;mso-position-vertical-relative:page" stroked="f">
            <v:textbox style="mso-next-textbox:#_x0000_s25939" inset="0,0,0,0">
              <w:txbxContent>
                <w:p w:rsidR="004D4A52" w:rsidRDefault="004D4A5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פורסמה בה"ח 1515, התשמ"א, עמ' 232.</w:t>
                  </w:r>
                </w:p>
                <w:p w:rsidR="004D4A52" w:rsidRPr="00E333B9" w:rsidRDefault="004D4A52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86; התשל"ז, עמ' 102; התשמ"א,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0" o:spid="_x0000_s1027" type="#_x0000_t202" style="position:absolute;left:0;text-align:left;margin-left:101.9pt;margin-top:440.2pt;width:453.6pt;height:224.75pt;z-index:2;mso-wrap-style:none;mso-position-horizontal-relative:page;mso-position-vertical-relative:page" stroked="f">
            <v:textbox style="mso-next-textbox:#_x0000_s25940" inset="0,0,0,0">
              <w:txbxContent>
                <w:tbl>
                  <w:tblPr>
                    <w:tblW w:w="48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2"/>
                    <w:gridCol w:w="5886"/>
                    <w:gridCol w:w="1191"/>
                  </w:tblGrid>
                  <w:tr w:rsidR="004D4A52" w:rsidRPr="00E333B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4A52" w:rsidRPr="00E333B9" w:rsidRDefault="004D4A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290" w:type="pct"/>
                        <w:gridSpan w:val="2"/>
                      </w:tcPr>
                      <w:p w:rsidR="004D4A52" w:rsidRPr="00E333B9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16 לחוק הגנת השכר, התשי"ח-1958 1, יבוא:</w:t>
                        </w:r>
                      </w:p>
                    </w:tc>
                  </w:tr>
                  <w:tr w:rsidR="004D4A52" w:rsidRPr="00E333B9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8" w:type="pct"/>
                      </w:tcPr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בסעיף זה -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פרישה" - תשלומים תקופתיים המשתלמים לעובד מאת מעביד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קופת גמל, לאחר פרישה מוחלטת או חלקית של העובד מעבודתו,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מחמת נכות או מחלה ;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נכות" - תשלומים תקופתיים המשתלמים לעובד מאת מעביד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קופת גמל, לאחר פרישה מוחלטת או חלקית של העובד מעבודתו,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נכות או מחלה;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"קצבת שאירים" - תשלומים תקופתיים המשתלמים מאת מעביד או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גמל, לשאיר של עובד או לשאיר של מי שהיה עובד ופרש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מעבודתו;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"קצבה" - קצבת פרישה, קצבת נכות או קצבת שאירים;</w:t>
                        </w:r>
                      </w:p>
                      <w:p w:rsidR="004D4A52" w:rsidRDefault="004D4A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מולנת" - קצבה שלא שולמה במועד בהתאם להוראות סעיף זה.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4D4A52" w:rsidRDefault="004D4A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''קצבה ופיצוי</w:t>
                        </w:r>
                      </w:p>
                      <w:p w:rsidR="004D4A52" w:rsidRPr="00E333B9" w:rsidRDefault="004D4A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הלגת קצבה</w:t>
                        </w:r>
                      </w:p>
                    </w:tc>
                  </w:tr>
                </w:tbl>
                <w:p w:rsidR="004D4A52" w:rsidRDefault="004D4A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941" o:spid="_x0000_s1028" type="#_x0000_t202" style="position:absolute;left:0;text-align:left;margin-left:224.05pt;margin-top:407.9pt;width:265.1pt;height:27.7pt;z-index:1;mso-wrap-style:none;mso-position-horizontal-relative:page;mso-position-vertical-relative:page" stroked="f">
            <v:textbox style="mso-next-textbox:#_x0000_s25941" inset="0,0,0,0">
              <w:txbxContent>
                <w:p w:rsidR="004D4A52" w:rsidRPr="00E333B9" w:rsidRDefault="004D4A52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הגנת השכר (תיקון מס' 15), התשמ"א-1981 *</w:t>
                  </w:r>
                </w:p>
              </w:txbxContent>
            </v:textbox>
            <w10:wrap anchorx="page" anchory="page"/>
          </v:shape>
        </w:pict>
      </w:r>
    </w:p>
    <w:p w:rsidR="00C263A9" w:rsidRDefault="00C263A9">
      <w:pPr>
        <w:rPr>
          <w:rtl/>
        </w:rPr>
      </w:pPr>
      <w:r>
        <w:rPr>
          <w:rtl/>
        </w:rPr>
        <w:br w:type="page"/>
      </w:r>
    </w:p>
    <w:p w:rsidR="00C263A9" w:rsidRDefault="00000000">
      <w:pPr>
        <w:rPr>
          <w:rtl/>
        </w:rPr>
      </w:pPr>
      <w:r>
        <w:pict>
          <v:shape id="_x0000_s259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42" inset="0,0,0,0">
              <w:txbxContent>
                <w:p w:rsidR="004D4A52" w:rsidRDefault="004D4A52">
                  <w:r>
                    <w:rPr>
                      <w:rtl/>
                    </w:rPr>
                    <w:t>318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3" o:spid="_x0000_s1030" type="#_x0000_t202" style="position:absolute;left:0;text-align:left;margin-left:93.25pt;margin-top:709.45pt;width:168.9pt;height:26.75pt;z-index:6;mso-wrap-style:none;mso-position-horizontal-relative:page;mso-position-vertical-relative:page" stroked="f">
            <v:textbox style="mso-next-textbox:#_x0000_s25943" inset="0,0,0,0">
              <w:txbxContent>
                <w:p w:rsidR="004D4A52" w:rsidRDefault="004D4A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5944" o:spid="_x0000_s1031" type="#_x0000_t202" style="position:absolute;left:0;text-align:left;margin-left:81.4pt;margin-top:63.8pt;width:395pt;height:643.9pt;z-index:5;mso-wrap-style:none;mso-position-horizontal-relative:page;mso-position-vertical-relative:page" stroked="f">
            <v:textbox style="mso-next-textbox:#_x0000_s25944" inset="0,0,0,0">
              <w:txbxContent>
                <w:tbl>
                  <w:tblPr>
                    <w:tblW w:w="42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8"/>
                    <w:gridCol w:w="1173"/>
                  </w:tblGrid>
                  <w:tr w:rsidR="004D4A52" w:rsidRPr="00C263A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קצבה חדשית תשולם עם תום החודש שבעדו היא משתלמת,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היא משתלמת בעד תקופה אחרת - עם תום אותה תקופה; לענין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וסעיפים 17א ו-18 יראו קצבה כמולנת מהיום הששה עשר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מועד זה.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לקצבה מולנת יווסף פיצוי, בעד כל חודש שבו היתה מולנת,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25% ממנה (להלן - פיצוי הלנת קצבה); הפיצוי בעד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של חודש יהיה החלק היחסי של 25%; פיצוי הלנת קצבה יהיה לכל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דבר, פרט לענין סעיף קטן זה, חלק מהקצבה.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14, 17א ו-18 יחולו, בשינויים המחוייבים,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קצבה כאילו היונה שכר עבודה, ובכל מקום בסעיפים האמורים שבו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מדובר במעביד, יראו כאילו מדובר במי שחייב בתשלום הקצבה.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20(ד) יחולו אף על תשלום פיצוי הלנת קצבה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פיצוי הלנת פיצויי פיטורים.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D4A52" w:rsidRPr="00C263A9" w:rsidRDefault="004D4A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4D4A52" w:rsidRPr="00C263A9">
                    <w:trPr>
                      <w:jc w:val="right"/>
                    </w:trPr>
                    <w:tc>
                      <w:tcPr>
                        <w:tcW w:w="4183" w:type="pct"/>
                      </w:tcPr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(א) על אף האמור בסעיף 16, לא יראו קצבה כמולנת -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קצבת פרישה שמשלם מעביד לעובד שפרש מעבו-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דתו, והפרישה היתה על פי יזמת העובד - עד תום החודש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החודש שבו נסתיימו מאה ושמונים ימים מיום מסירת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העובד למעביד על הפרישה;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קצבת פרישה שמשלם מעביד לעובד שפרש מעבו-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דתו, והפרישה מהעבודה היתה שלא על-פי יזמת העובד -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החודש שלאחר החודש שבו נסתיימו ששים ימים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הפרישה;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קצבת פרישה שמשלמת קופת גמל לעובד שפרש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מעבודתו - עד תום החודש שלאחר החודש שבו נסתיימו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מאה ושמונים ימים מיום שהעובד או המעביד הגיש את הבקשה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לקופת הגמל;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קצבת נכות - עד תום החודש שלאחר החודש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נסתיימו ששים ימים מיום מתן החלטת הועדה הרפואית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שלפיה זכאי העובד לקצבת נכות או מיום הפרישה מהעבודה 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נכות, לפי המועד המאוחר יותר;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לגבי קצבת שאירים - עד תום החודש שלאחר החודש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נסתיימו תשעים ימים מיום שאחד השאירים הגיש את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לקצבה, ואם הזכאות לקצבה זו תלויה על פי חיקוק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תקנונה של קופת גמל במתן פסק דין או החלטה של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או של בית דין - עד תום החודש שבו נסתיימו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מיום המצאת פסק הדין או ההחלטה הסופיים,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המועד המאוחר יותר.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בפסקאות (1), (3) ו-(5) לסעיף קטן (א), אם</w:t>
                        </w:r>
                      </w:p>
                      <w:p w:rsidR="004D4A52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ברשות מי שחייב בתשלום הקצבה נתונים מספיקים, לקביעת הזכאות</w:t>
                        </w:r>
                      </w:p>
                      <w:p w:rsidR="004D4A52" w:rsidRPr="00C263A9" w:rsidRDefault="004D4A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ושיעורה, תור המועדים האמורים בהן, לא יחולו עליו הפסקאות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4D4A52" w:rsidRDefault="004D4A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רשיון</w:t>
                        </w:r>
                      </w:p>
                      <w:p w:rsidR="004D4A52" w:rsidRPr="00C263A9" w:rsidRDefault="004D4A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קצבה</w:t>
                        </w:r>
                      </w:p>
                    </w:tc>
                  </w:tr>
                </w:tbl>
                <w:p w:rsidR="004D4A52" w:rsidRDefault="004D4A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4A52" w:rsidRDefault="004D4A52">
      <w:pPr>
        <w:rPr>
          <w:rtl/>
        </w:rPr>
      </w:pPr>
      <w:r>
        <w:rPr>
          <w:rtl/>
        </w:rPr>
        <w:br w:type="page"/>
      </w:r>
    </w:p>
    <w:p w:rsidR="004D4A52" w:rsidRDefault="00000000">
      <w:pPr>
        <w:rPr>
          <w:rtl/>
        </w:rPr>
      </w:pPr>
      <w:r>
        <w:pict>
          <v:shape id="_x0000_s25945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5945" inset="0,0,0,0">
              <w:txbxContent>
                <w:p w:rsidR="004D4A52" w:rsidRDefault="004D4A52">
                  <w:r>
                    <w:rPr>
                      <w:rtl/>
                    </w:rPr>
                    <w:t>319                                         ספר החוקים 1030                 י"ג בסיוון התשמ"א 15.06.1981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6" o:spid="_x0000_s1033" type="#_x0000_t202" style="position:absolute;left:0;text-align:left;margin-left:385.95pt;margin-top:685.7pt;width:172.25pt;height:43.95pt;z-index:12;mso-wrap-style:none;mso-position-horizontal-relative:page;mso-position-vertical-relative:page" stroked="f">
            <v:textbox style="mso-next-textbox:#_x0000_s25946" inset="0,0,0,0">
              <w:txbxContent>
                <w:p w:rsidR="004D4A52" w:rsidRPr="004D4A52" w:rsidRDefault="004D4A52">
                  <w:pPr>
                    <w:pStyle w:val="OCRStyle3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התשכ"ט, עמ' 70; התש"ם, עמ' 135.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7" o:spid="_x0000_s1034" type="#_x0000_t202" style="position:absolute;left:0;text-align:left;margin-left:169.55pt;margin-top:625.9pt;width:106.9pt;height:27.7pt;z-index:11;mso-wrap-style:none;mso-position-horizontal-relative:page;mso-position-vertical-relative:page" stroked="f">
            <v:textbox style="mso-next-textbox:#_x0000_s25947" inset="0,0,0,0">
              <w:txbxContent>
                <w:p w:rsidR="004D4A52" w:rsidRDefault="004D4A52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4D4A52" w:rsidRDefault="004D4A52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8" o:spid="_x0000_s1035" type="#_x0000_t202" style="position:absolute;left:0;text-align:left;margin-left:322pt;margin-top:625.1pt;width:80pt;height:26.75pt;z-index:10;mso-wrap-style:none;mso-position-horizontal-relative:page;mso-position-vertical-relative:page" stroked="f">
            <v:textbox style="mso-next-textbox:#_x0000_s25948" inset="0,0,0,0">
              <w:txbxContent>
                <w:p w:rsidR="004D4A52" w:rsidRDefault="004D4A52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D4A52" w:rsidRDefault="004D4A52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49" o:spid="_x0000_s1036" type="#_x0000_t202" style="position:absolute;left:0;text-align:left;margin-left:484.75pt;margin-top:644.9pt;width:68.9pt;height:37.05pt;z-index:9;mso-wrap-style:none;mso-position-horizontal-relative:page;mso-position-vertical-relative:page" stroked="f">
            <v:textbox style="mso-next-textbox:#_x0000_s25949" inset="0,0,0,0">
              <w:txbxContent>
                <w:p w:rsidR="004D4A52" w:rsidRDefault="004D4A52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D4A52" w:rsidRDefault="004D4A52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50" o:spid="_x0000_s1037" type="#_x0000_t202" style="position:absolute;left:0;text-align:left;margin-left:98.25pt;margin-top:63.8pt;width:463.9pt;height:556.2pt;z-index:8;mso-wrap-style:none;mso-position-horizontal-relative:page;mso-position-vertical-relative:page" stroked="f">
            <v:textbox style="mso-next-textbox:#_x0000_s25950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5774"/>
                    <w:gridCol w:w="1349"/>
                  </w:tblGrid>
                  <w:tr w:rsid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החל מתום החודש שלאחר החודש שבו נסתיימו ששים ימים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היו ברשותו הנתונים האמורים.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היו ברשות מי שחייב בתשלום קצבה נתונים מספיקים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סכום הקצבה המגיעה בארבעת החדשים הראשונים שלאחר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המועדים האמורים בפסקאות (1) עד (5) לסעיף קטן (א) ובסעיף קטן (ב),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שילם מקדמה על חשבון הקצבה בסכום המתאים לנתונים שהיו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ברשותו בחודש שקדם לחודש שבו שולמה המקדמה, לא יראו את יתרת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הקצבה כמולנת עד תום החודש שלאחר החודש האחרון לתשלום המקדמה.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D4A52" w:rsidRP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16ב. על אף האמור בסעיף 16, לגבי הפרש הנובע משינוי בסכום הקצבה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שהוחל בתשלומה, לא יראו קצבה כמולנת עד תום החודש שלאחר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נסתיימו ששים ימים לאחר המועד שבו נקבע השינוי האמור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שבו הוא חל, הכל לפי המועד המאוחר יותר.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חשלום הפרשים</w:t>
                        </w:r>
                      </w:p>
                    </w:tc>
                  </w:tr>
                  <w:tr w:rsidR="004D4A52" w:rsidRP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16ג. עובד החייב לפרוש מעבודתו, על פי תנאי העסקתו, בהגיעו לגיל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או אם דרש ממנו מעבידו לפרוש מעבודתו לפני שהגיע לגיל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והוא זכאי עקב פרישתו לקצבת פרישה מקופת גמל - חייב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מעבידו להגיש בקשה כאמור בפסקה (3) לסעיף 16א(א) לפחות ששה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לפני מועד הפרישה, ואם לא עשה כן יהיה העובד זכאי לקבל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ממעבידו פיצוי הלנת קצבה בעד התקופה שבה היו רואים את הקצבה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כמולנת אילולא הוראות הפסקה האמורה."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ד.גשת בקשה</w:t>
                        </w:r>
                      </w:p>
                    </w:tc>
                  </w:tr>
                  <w:tr w:rsidR="004D4A52" w:rsidRP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בית</w:t>
                        </w:r>
                      </w:p>
                      <w:p w:rsidR="004D4A52" w:rsidRP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לעבודה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בחוק בית הדין לעבודה, התשכ"ט-1969 2 -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24(א)(3), בסופו יבוא 'יוכן כל תובענה לקצבה הנובעת מיחסי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ומעביד";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27(ב), במקום "בתובענות על שכר עבודה כמשמעותו בחוק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השכר, תשי"ח-1958, אם שכר העבודה אינו עולה" יבוא "בתובענות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לשכר עבודה כמשמעותו בחוק הגנת השכר, התשי"ח-1958, וכן בתובענות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 כמשמעותה בחוק האמור, למעט תובענות שענינן עצם הזכאות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לקצבה, אם שכר העבודה או הקצבה אינם עולים";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27(ב1), במקום "על שכר עבודה" יבוא "לשכר עבודה או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לקצבה";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27(ב2), במקום "על שכר עבודה" יבוא "לשכר עבודה", ואחרי</w:t>
                        </w:r>
                      </w:p>
                      <w:p w:rsid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"לחוק הגנת השכר, תשי"ח--1958" יבוא "וכן תובענה לקצבה הכוללת פיצוי</w:t>
                        </w:r>
                      </w:p>
                      <w:p w:rsidR="004D4A52" w:rsidRP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הלנת קצבה כמשמעותו בסעיף 16(ג) לחוק האמור".</w:t>
                        </w:r>
                      </w:p>
                    </w:tc>
                  </w:tr>
                  <w:tr w:rsidR="004D4A52" w:rsidRP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תחילתו של חוק זה ביום ה' בכסלו התשמ"ב (1 בדצמבר 1981).</w:t>
                        </w:r>
                      </w:p>
                    </w:tc>
                  </w:tr>
                  <w:tr w:rsidR="004D4A52" w:rsidRPr="004D4A52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4D4A52" w:rsidRPr="004D4A52" w:rsidRDefault="004D4A5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יפורסם תוך שלושים ימים מיום קבלתו בכנסת.</w:t>
                        </w:r>
                      </w:p>
                    </w:tc>
                  </w:tr>
                </w:tbl>
                <w:p w:rsidR="004D4A52" w:rsidRDefault="004D4A5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33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49E4B4-AED4-4394-B2DD-09665B69D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33B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263A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D4A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2008-04-07T00:51:00Z</dcterms:created>
  <dcterms:modified xsi:type="dcterms:W3CDTF">2008-04-07T00:51:00Z</dcterms:modified>
</cp:coreProperties>
</file>