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7A68" w:rsidRDefault="00717A68">
      <w:pPr>
        <w:rPr>
          <w:rtl/>
        </w:rPr>
      </w:pPr>
    </w:p>
    <w:p w:rsidR="00717A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58" inset="0,0,0,0">
              <w:txbxContent>
                <w:p w:rsidR="00717A68" w:rsidRDefault="00717A68">
                  <w:r>
                    <w:rPr>
                      <w:rtl/>
                    </w:rPr>
                    <w:t>30                                           ספר החוקים 951                  כ"ג בכסליו התש"מ 13.12.1979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9" o:spid="_x0000_s1026" type="#_x0000_t202" style="position:absolute;left:0;text-align:left;margin-left:86.7pt;margin-top:700.5pt;width:184.95pt;height:61.2pt;z-index:6;mso-position-horizontal-relative:page;mso-position-vertical-relative:page" stroked="f">
            <v:textbox style="mso-next-textbox:#_x0000_s25959" inset="0,0,0,0">
              <w:txbxContent>
                <w:p w:rsidR="00717A68" w:rsidRDefault="00717A68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951, כ''ג בכסלו תש"ם, 13.12.1979</w:t>
                  </w:r>
                </w:p>
                <w:p w:rsidR="00717A68" w:rsidRPr="00717A68" w:rsidRDefault="00717A68">
                  <w:pPr>
                    <w:pStyle w:val="OCRStyle1"/>
                    <w:ind w:left="882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0" o:spid="_x0000_s1027" type="#_x0000_t202" style="position:absolute;left:0;text-align:left;margin-left:97pt;margin-top:326.85pt;width:381.35pt;height:76.65pt;z-index:5;mso-position-horizontal-relative:page;mso-position-vertical-relative:page" stroked="f">
            <v:textbox style="mso-next-textbox:#_x0000_s25960" inset="0,0,0,0">
              <w:txbxContent>
                <w:p w:rsidR="00717A68" w:rsidRDefault="00717A68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גתקנל בכנסת ביום י"ד בכסלו תש''ם (4 בדצמבר 1879); הצעת החוק ודברי הסבר פורסמו בה"ח 1418, תש"ם,</w:t>
                  </w:r>
                </w:p>
                <w:p w:rsidR="00717A68" w:rsidRDefault="00717A68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28.</w:t>
                  </w:r>
                </w:p>
                <w:p w:rsidR="00717A68" w:rsidRPr="00717A68" w:rsidRDefault="00717A68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80; תשל"ז,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1" o:spid="_x0000_s1028" type="#_x0000_t202" style="position:absolute;left:0;text-align:left;margin-left:110.65pt;margin-top:239.95pt;width:109.3pt;height:38.8pt;z-index:4;mso-position-horizontal-relative:page;mso-position-vertical-relative:page" stroked="f">
            <v:textbox style="mso-next-textbox:#_x0000_s25961" inset="0,0,0,0">
              <w:txbxContent>
                <w:p w:rsidR="00717A68" w:rsidRDefault="00717A68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717A68" w:rsidRDefault="00717A6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2" o:spid="_x0000_s1029" type="#_x0000_t202" style="position:absolute;left:0;text-align:left;margin-left:251.8pt;margin-top:234.8pt;width:76.65pt;height:49.1pt;z-index:3;mso-position-horizontal-relative:page;mso-position-vertical-relative:page" stroked="f">
            <v:textbox style="mso-next-textbox:#_x0000_s25962" inset="0,0,0,0">
              <w:txbxContent>
                <w:p w:rsidR="00717A68" w:rsidRDefault="00717A68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17A68" w:rsidRDefault="00717A6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3" o:spid="_x0000_s1030" type="#_x0000_t202" style="position:absolute;left:0;text-align:left;margin-left:404.3pt;margin-top:263.3pt;width:74.85pt;height:45.55pt;z-index:2;mso-position-horizontal-relative:page;mso-position-vertical-relative:page" stroked="f">
            <v:textbox style="mso-next-textbox:#_x0000_s25963" inset="0,0,0,0">
              <w:txbxContent>
                <w:p w:rsidR="00717A68" w:rsidRDefault="00717A68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717A68" w:rsidRDefault="00717A6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4" o:spid="_x0000_s1031" type="#_x0000_t202" style="position:absolute;left:0;text-align:left;margin-left:93.4pt;margin-top:68.7pt;width:471.85pt;height:153.25pt;z-index:1;mso-position-horizontal-relative:page;mso-position-vertical-relative:page" stroked="f">
            <v:textbox style="mso-next-textbox:#_x0000_s259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404"/>
                  </w:tblGrid>
                  <w:tr w:rsidR="00717A6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17A68" w:rsidRPr="00717A68" w:rsidRDefault="00717A68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חוק הגנת השכר (תיקון מס' 13), תש"ם-1979*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17A68" w:rsidRDefault="00717A6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7A68" w:rsidRPr="00717A6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17A68" w:rsidRDefault="00717A68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1 לחוק הגנת השכר' תשי"ח-1958  1(להלן - החוק העיקרי)' בהגדרת "קופת</w:t>
                        </w:r>
                      </w:p>
                      <w:p w:rsidR="00717A68" w:rsidRDefault="00717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גמל"' אחרי "הסכמת קופת הגמל" יבוא "וכן קופת גמל כאמור שמטרתה ביטוח העובד'</w:t>
                        </w:r>
                      </w:p>
                      <w:p w:rsidR="00717A68" w:rsidRPr="00717A68" w:rsidRDefault="00717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ושאיריו שהעובד בלבד חייב לשלם לה מכוח הסכם קיבוצי או צו הרחבה".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17A68" w:rsidRPr="00717A68" w:rsidRDefault="00717A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17A68" w:rsidRPr="00717A68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17A68" w:rsidRDefault="00717A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(א) לחוק העיקרי' בסוף פסקה (5) יבוא "ובלבד שתשלומים כאמור לקופת</w:t>
                        </w:r>
                      </w:p>
                      <w:p w:rsidR="00717A68" w:rsidRDefault="00717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שהעובד בלבד חייב לשלם לה לא ינוכו משכרו של העובד אם הוא הודיע למעבידו</w:t>
                        </w:r>
                      </w:p>
                      <w:p w:rsidR="00717A68" w:rsidRPr="00717A68" w:rsidRDefault="00717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התנגדותו לתשלומם".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17A68" w:rsidRPr="00717A68" w:rsidRDefault="00717A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717A68" w:rsidRDefault="00717A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7A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C6F067-751A-4D65-995E-EAF66184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7A68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