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0226" w:rsidRDefault="00C20226">
      <w:pPr>
        <w:rPr>
          <w:rtl/>
        </w:rPr>
      </w:pPr>
    </w:p>
    <w:p w:rsidR="00C202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267" inset="0,0,0,0">
              <w:txbxContent>
                <w:p w:rsidR="003366A2" w:rsidRDefault="003366A2">
                  <w:r>
                    <w:rPr>
                      <w:rtl/>
                    </w:rPr>
                    <w:t>220                                          ספר החוקים 462                  כ"ג בתמוז התשכ"ה 23.07.1965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8" o:spid="_x0000_s1026" type="#_x0000_t202" style="position:absolute;left:0;text-align:left;margin-left:86.45pt;margin-top:693.6pt;width:390.25pt;height:57pt;z-index:3;mso-position-horizontal-relative:page;mso-position-vertical-relative:page" stroked="f">
            <v:textbox style="mso-next-textbox:#_x0000_s26268" inset="0,0,0,0">
              <w:txbxContent>
                <w:p w:rsidR="003366A2" w:rsidRDefault="003366A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תשכ"ה (13 ביולי 1065); הצעת החוק ודברי הסבר פורסמו בה"ח 633 ,תשכיח/</w:t>
                  </w:r>
                </w:p>
                <w:p w:rsidR="003366A2" w:rsidRPr="00C20226" w:rsidRDefault="003366A2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9" o:spid="_x0000_s1027" type="#_x0000_t202" style="position:absolute;left:0;text-align:left;margin-left:86.45pt;margin-top:119.6pt;width:461.55pt;height:572.2pt;z-index:2;mso-position-horizontal-relative:page;mso-position-vertical-relative:page" stroked="f">
            <v:textbox style="mso-next-textbox:#_x0000_s262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3"/>
                    <w:gridCol w:w="1220"/>
                  </w:tblGrid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שליחות היא יפוי כוחו של שלוח לעשות בשמו או במקומו של שולח פעולה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כלפי צד שלישי.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פעולה משפטית יכולה לשמש נושא לשליחות, חוץ מפעולה שלפי מהותה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דין יש לבצעה אישית.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השליחות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ונושאה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שלוחו של אדם כמותו' ופעולת השלוח, לרבות ידיעתו וכוונתו, מחייבת ומזכה, לפי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את השולח.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השליחות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השליחות מוקנית בהרשאה, שבכתב או שבעל-פה, מאת השולח לשלוח, או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עליה מאת השולח לצד השלישי, או על ידי התנהגות השולח כלפי אחד מהם.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 אדם להיזקק לפעולת שלוח, רשאי הוא שלא להכיר בשליחות כל עוד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הוצגה לפניו הרשאה בכתב ולא נמסר לו העתק ממנה.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השליחות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וצורתה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כל אדם כשר להיות שלוח לפעולה שהוא עצמו בר-דעת לעשותה, אך לענין זכויותיו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וחיוביו יחולו דיני הכשרות המשפטית הכלליים.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 השלוח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השליחות חלה - באין הגבלה בהרשאה - על כל פעולה הדרושה באופן סביר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התקין של נושא השליחות, אולם אין היא חלה - באין הרשאה מפורשת לכך -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הליכים לפני בית משפט, בית דין או בורר, ולא על פשרה או ויתור או פעולה כלי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תמורה.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רשאי שלוח לעשות כל פעולה דחופה ובלתי צפויה מראש הדרושה באופן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לשמירה על עניני השולח בקשר לנושא השליחות, אף אם הפעולה חורגת מתחום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השליחות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פעל אדם בחזקת שלוחו של אחר בלי שהורשה לכך או בחריגה מהרשאתה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אותו אחר, בכפוף לאמור בסעיף קטן (ב), לאשר את הפעולה בדיעבד; ואישור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בדיעבד - כהרשאה מלכתחילה, ובלבד שלא תיפגע זכות שרכש אדם אחר בתום-לב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ובתמורה לפני האישור.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ידע הצד השלישי בשעת הפעולה שהשלוח פועל ללא הרשאה או בחריגה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מהרשאתו, הברירה בידו, כל עוד לא נודע לו על אישור הפעולה, לראות את השלוח כבעל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דברו או לחזור בו מן הפעולה ולתבוע מן השלוח את נזקו.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תאגיד יכול לאשר פעולה שנעשתה למענו לפני היווסדו, ויחולו הוראות סעיף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מעולה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הרשאה</w:t>
                        </w:r>
                      </w:p>
                    </w:tc>
                  </w:tr>
                  <w:tr w:rsidR="003366A2" w:rsidRPr="00C202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ידע הצד השלישי בשעת הפעולה על קיומה של השליחות, או לא ידע את זהותו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השולח, תחייב פעולת השלוח את השולח והשלוח יחד ולחוד ותזכה את השלוח בלבד;</w:t>
                        </w:r>
                      </w:p>
                      <w:p w:rsidR="003366A2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יכול השולח לאמץ לעצמו זכויות השלוח כלפי הצד השלישי, זולת אם הדבר נוגד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לפי מהותה, תנאיה, או נסיבות הענין.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366A2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שליחות</w:t>
                        </w:r>
                      </w:p>
                      <w:p w:rsidR="003366A2" w:rsidRPr="00C20226" w:rsidRDefault="003366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נסחרת</w:t>
                        </w:r>
                      </w:p>
                    </w:tc>
                  </w:tr>
                </w:tbl>
                <w:p w:rsidR="003366A2" w:rsidRDefault="003366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70" o:spid="_x0000_s1028" type="#_x0000_t202" style="position:absolute;left:0;text-align:left;margin-left:200.5pt;margin-top:86.1pt;width:181.35pt;height:30.1pt;z-index:1;mso-position-horizontal-relative:page;mso-position-vertical-relative:page" stroked="f">
            <v:textbox style="mso-next-textbox:#_x0000_s26270" inset="0,0,0,0">
              <w:txbxContent>
                <w:p w:rsidR="003366A2" w:rsidRPr="00C20226" w:rsidRDefault="003366A2">
                  <w:pPr>
                    <w:pStyle w:val="OCRStyle1"/>
                    <w:ind w:left="35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השליחות, תשכ"ה-1965 *</w:t>
                  </w:r>
                </w:p>
              </w:txbxContent>
            </v:textbox>
            <w10:wrap anchorx="page" anchory="page"/>
          </v:shape>
        </w:pict>
      </w:r>
    </w:p>
    <w:p w:rsidR="00584551" w:rsidRDefault="00584551">
      <w:pPr>
        <w:rPr>
          <w:rtl/>
        </w:rPr>
      </w:pPr>
      <w:r>
        <w:rPr>
          <w:rtl/>
        </w:rPr>
        <w:br w:type="page"/>
      </w:r>
    </w:p>
    <w:p w:rsidR="00584551" w:rsidRDefault="00000000">
      <w:pPr>
        <w:rPr>
          <w:rtl/>
        </w:rPr>
      </w:pPr>
      <w:r>
        <w:pict>
          <v:shape id="_x0000_s262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271" inset="0,0,0,0">
              <w:txbxContent>
                <w:p w:rsidR="003366A2" w:rsidRDefault="003366A2">
                  <w:r>
                    <w:rPr>
                      <w:rtl/>
                    </w:rPr>
                    <w:t>221                                          ספר החוקים 462                  כ"ג בתמוז התשכ"ה 23.07.1965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72" o:spid="_x0000_s1030" type="#_x0000_t202" style="position:absolute;left:0;text-align:left;margin-left:379.25pt;margin-top:727.8pt;width:182.95pt;height:22.75pt;z-index:6;mso-position-horizontal-relative:page;mso-position-vertical-relative:page" stroked="f">
            <v:textbox style="mso-next-textbox:#_x0000_s26272" inset="0,0,0,0">
              <w:txbxContent>
                <w:p w:rsidR="003366A2" w:rsidRDefault="003366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273" o:spid="_x0000_s1031" type="#_x0000_t202" style="position:absolute;left:0;text-align:left;margin-left:88.15pt;margin-top:79.35pt;width:470.65pt;height:640.95pt;z-index:5;mso-position-horizontal-relative:page;mso-position-vertical-relative:page" stroked="f">
            <v:textbox style="mso-next-textbox:#_x0000_s262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6988"/>
                  </w:tblGrid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נאמנות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 השלוח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קיבל אדם עליו להיות שלוח, חייב הוא לנהוג כלפי השולח בנאמנות ולפעול בהתאם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להוראותיו; ובאין כוונה אחרת משתמעת ממהות השליחות או מתנאיה יחולו עליו חובות אלו: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יגלה לשולח כל ידיעה וימסור לו כל מסמך הנוגעים לנושא השליחות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ויתן לו דין וחשבון על פעולותיו;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יהא שלוח של שולחים שונים לנושא שליחות אחד שלא על דעת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שולחיו;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יעשה פעולת שליחות עם עצמו?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יקבל מכל אדם טובת הנאה או הבטחה לטובת הנאה בקשר לנושא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השליחות שלא בהסכמתו של השולח;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ישתמש לרעת השולח בידיעות או במסמכים שבאו לידו עקב השליחות,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כלל יימנע מכל דבר שיש בו ניגוד בין טובת השולח ובין טובתו שלו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אדם אחר.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הפר השלוח אחת החובות המוטלות עליו לפי סעיף 8, זכאי השולח לתרופות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הניתנות בשל הפרת חוזה.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שהשלוח עשה כלפי צד שלישי עקב הפרת חובה כאמור וההפרה היתה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 הצד השלישי' זכאי השולח' נוסף על התרופות האמורות בסעיף-קטן (א), לבטל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הפעולה וכן לתבוע גם מן הצד השלישי את הפיצויים המגיעים לו מן השלוח.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ורווחים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כל נכס שבא לידי השלוח עקב השליחות מוחזק בידו כנאמן של השולח? והוא'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גילה השלוח לצד השלישי את קיומה של השליחות או את זהותו של השולח.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השולח זכאי לכל ריווח או טובת הנאה שבאו לשלוח בקשר לנושא השליחות.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שיפוי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השולח חייב לשפות את השלוח על ההוצאות הסבירות שהוציא ועל ההתחייבויות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שהתחייב בהן באופן סביר עקב השליחות.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עכבון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על אף האמור בסעיף 8 (1), תהא לשלוח זכות עכבון על נכסי השולח שבאו לידו עקב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השליחות - כולל נכסים המוחזקים בידו כנאמן השולח - כדי תשלום שכרו וסכומים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המגיעים לו מן השולח עקב השליחות.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חובות שהשולח והשלוח חבים זה לזה עקב השליחות ניתנים לקיזוז.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השליחות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השליחות מסתיימת בביטולה על ידי השולח או השלוח' וכן במותו של אחד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בגריעת כשרותו או בפשיטת רגלו' או - אם היה תאגיד - בפירוקו.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אם ניתנה ההרשאה להבטחת זכותו של אדם אחר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השלוח עצמו וזכותם תלויה בביצוע נושא השליחות.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לסיום השליחות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כל עוד לא ידע השלוח על סיום השליחות' זכאי הוא כלפי השולח לראותה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כנמשכת.</w:t>
                        </w:r>
                      </w:p>
                      <w:p w:rsidR="003366A2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ידע הצד השלישי על סיום השליחות' זכאי הוא לראותה כנמשכת? ואם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השלוח ידע על סיומה, זכאי הצד השלישי גם לברירה הנתונה לו בסעיף 6 (ב).</w:t>
                        </w:r>
                      </w:p>
                    </w:tc>
                  </w:tr>
                  <w:tr w:rsidR="003366A2" w:rsidRPr="0058455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3366A2" w:rsidRPr="00584551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שליחות משנה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3366A2" w:rsidRDefault="003366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אין שלוח עושה שלוח לנושא שליחותו אלא אם הורשה לכך במפורש או מכללא'</w:t>
                        </w:r>
                      </w:p>
                      <w:p w:rsidR="003366A2" w:rsidRPr="00584551" w:rsidRDefault="003366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שעשה זאת לשם פעולה כאמור בסעיף 5 (ב).</w:t>
                        </w:r>
                      </w:p>
                    </w:tc>
                  </w:tr>
                </w:tbl>
                <w:p w:rsidR="003366A2" w:rsidRDefault="003366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366A2" w:rsidRDefault="003366A2">
      <w:pPr>
        <w:rPr>
          <w:rtl/>
        </w:rPr>
      </w:pPr>
      <w:r>
        <w:rPr>
          <w:rtl/>
        </w:rPr>
        <w:br w:type="page"/>
      </w:r>
    </w:p>
    <w:p w:rsidR="003366A2" w:rsidRDefault="00000000">
      <w:pPr>
        <w:rPr>
          <w:rtl/>
        </w:rPr>
      </w:pPr>
      <w:r>
        <w:pict>
          <v:shape id="_x0000_s2627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274" inset="0,0,0,0">
              <w:txbxContent>
                <w:p w:rsidR="003366A2" w:rsidRDefault="003366A2">
                  <w:r>
                    <w:rPr>
                      <w:rtl/>
                    </w:rPr>
                    <w:t>222                                          ספר החוקים 462                  כ"ג בתמוז התשכ"ה 23.07.1965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75" o:spid="_x0000_s1033" type="#_x0000_t202" style="position:absolute;left:0;text-align:left;margin-left:83.3pt;margin-top:705.4pt;width:189.7pt;height:54.45pt;z-index:12;mso-position-horizontal-relative:page;mso-position-vertical-relative:page" stroked="f">
            <v:textbox style="mso-next-textbox:#_x0000_s26275" inset="0,0,0,0">
              <w:txbxContent>
                <w:p w:rsidR="003366A2" w:rsidRDefault="003366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276" o:spid="_x0000_s1034" type="#_x0000_t202" style="position:absolute;left:0;text-align:left;margin-left:105.05pt;margin-top:317.7pt;width:87.3pt;height:57pt;z-index:11;mso-position-horizontal-relative:page;mso-position-vertical-relative:page" stroked="f">
            <v:textbox style="mso-next-textbox:#_x0000_s26276" inset="0,0,0,0">
              <w:txbxContent>
                <w:p w:rsidR="003366A2" w:rsidRDefault="003366A2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366A2" w:rsidRDefault="003366A2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77" o:spid="_x0000_s1035" type="#_x0000_t202" style="position:absolute;left:0;text-align:left;margin-left:220.1pt;margin-top:314.35pt;width:99.8pt;height:62.15pt;z-index:10;mso-position-horizontal-relative:page;mso-position-vertical-relative:page" stroked="f">
            <v:textbox style="mso-next-textbox:#_x0000_s26277" inset="0,0,0,0">
              <w:txbxContent>
                <w:p w:rsidR="003366A2" w:rsidRDefault="003366A2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366A2" w:rsidRDefault="003366A2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78" o:spid="_x0000_s1036" type="#_x0000_t202" style="position:absolute;left:0;text-align:left;margin-left:352.55pt;margin-top:348pt;width:131.85pt;height:53.65pt;z-index:9;mso-position-horizontal-relative:page;mso-position-vertical-relative:page" stroked="f">
            <v:textbox style="mso-next-textbox:#_x0000_s26278" inset="0,0,0,0">
              <w:txbxContent>
                <w:p w:rsidR="003366A2" w:rsidRDefault="003366A2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366A2" w:rsidRDefault="003366A2">
                  <w:pPr>
                    <w:pStyle w:val="OCRStyle3"/>
                    <w:ind w:left="8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79" o:spid="_x0000_s1037" type="#_x0000_t202" style="position:absolute;left:0;text-align:left;margin-left:81.7pt;margin-top:75.35pt;width:471.45pt;height:218pt;z-index:8;mso-position-horizontal-relative:page;mso-position-vertical-relative:page" stroked="f">
            <v:textbox style="mso-next-textbox:#_x0000_s2627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372"/>
                  </w:tblGrid>
                  <w:tr w:rsidR="003366A2" w:rsidRPr="003366A2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ניתנה הרשאה אחת לשלוחים אחדים, חזקה שעליהם לפעול יחד.</w:t>
                        </w:r>
                      </w:p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הרשאה אחת על ידי שולחים אחדים, חזקה שעל השלוח לפעול מכוח</w:t>
                        </w:r>
                      </w:p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יחד.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שלוחים</w:t>
                        </w:r>
                      </w:p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ושולחים</w:t>
                        </w:r>
                      </w:p>
                    </w:tc>
                  </w:tr>
                  <w:tr w:rsidR="003366A2" w:rsidRPr="003366A2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18. לענין חוק זח רואים אדם כיודע דכר אם היה עליו כאדם סביר לדעתו או שקיבל</w:t>
                        </w:r>
                      </w:p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הודעה בדרך הרגילה.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</w:t>
                        </w:r>
                      </w:p>
                    </w:tc>
                  </w:tr>
                  <w:tr w:rsidR="003366A2" w:rsidRPr="003366A2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חוק זה אינו בא לגרוע מהוראות כל דין המסדיר סוג מיוחד של יחסי שליחות.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3366A2" w:rsidRPr="003366A2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הספר האחד-עשר של המג'לה - בטל.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3366A2" w:rsidRPr="003366A2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חוק זה, שלושה חדשים מיום פרסומו ברשומות; על יחסים שבין שולח</w:t>
                        </w:r>
                      </w:p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ושלוח שנוצרו לפני תחילתו של חוק זה יוסיף לחול הדין הקודם.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  <w:p w:rsidR="003366A2" w:rsidRPr="003366A2" w:rsidRDefault="003366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</w:tr>
                </w:tbl>
                <w:p w:rsidR="003366A2" w:rsidRDefault="003366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202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0AFD61-F77B-4138-A300-84180E62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022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455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366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2008-04-09T14:42:00Z</dcterms:created>
  <dcterms:modified xsi:type="dcterms:W3CDTF">2008-04-09T14:42:00Z</dcterms:modified>
</cp:coreProperties>
</file>