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395A" w:rsidRDefault="0037395A">
      <w:pPr>
        <w:rPr>
          <w:rtl/>
        </w:rPr>
      </w:pPr>
    </w:p>
    <w:p w:rsidR="0037395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28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6280" inset="0,0,0,0">
              <w:txbxContent>
                <w:p w:rsidR="004A3CA1" w:rsidRDefault="004A3CA1">
                  <w:r>
                    <w:rPr>
                      <w:rtl/>
                    </w:rPr>
                    <w:t>248                                          ספר החוקים 82                   כ"ב בתמוז התשי"א 26.07.1951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81" o:spid="_x0000_s1026" type="#_x0000_t202" style="position:absolute;left:0;text-align:left;margin-left:90.15pt;margin-top:712.75pt;width:403.35pt;height:78.4pt;z-index:4;mso-position-horizontal-relative:page;mso-position-vertical-relative:page" stroked="f">
            <v:textbox style="mso-next-textbox:#_x0000_s26281" inset="0,0,0,0">
              <w:txbxContent>
                <w:p w:rsidR="004A3CA1" w:rsidRDefault="004A3CA1">
                  <w:pPr>
                    <w:pStyle w:val="OCRStyle1"/>
                    <w:ind w:left="43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• נתקבל בכנכת ביום י״ג בתמוז תשי״א (17 ביולי 1951); הצעת החוק ודברי הסבר נתפרסמו</w:t>
                  </w:r>
                </w:p>
                <w:p w:rsidR="004A3CA1" w:rsidRDefault="004A3CA1">
                  <w:pPr>
                    <w:pStyle w:val="OCRStyle1"/>
                    <w:ind w:left="61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כהצעות חוק 75 מיום ג׳ באייר תשי״א (9.5.51), עמ' 190.</w:t>
                  </w:r>
                </w:p>
                <w:p w:rsidR="004A3CA1" w:rsidRDefault="004A3CA1">
                  <w:pPr>
                    <w:pStyle w:val="OCRStyle1"/>
                    <w:ind w:left="4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א״י, כרד ב', פרק קל״ה, עמ׳ 1353.</w:t>
                  </w:r>
                </w:p>
                <w:p w:rsidR="004A3CA1" w:rsidRPr="0037395A" w:rsidRDefault="004A3CA1">
                  <w:pPr>
                    <w:pStyle w:val="OCRStyle1"/>
                    <w:ind w:left="4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ע״ר מס׳ 652 מיום 14.12.36, תוס׳1, עמ׳.208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82" o:spid="_x0000_s1027" type="#_x0000_t202" style="position:absolute;left:0;text-align:left;margin-left:82.05pt;margin-top:148.85pt;width:491.85pt;height:535.6pt;z-index:3;mso-position-horizontal-relative:page;mso-position-vertical-relative:page" stroked="f">
            <v:textbox style="mso-next-textbox:#_x0000_s2628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0"/>
                    <w:gridCol w:w="1272"/>
                  </w:tblGrid>
                  <w:tr w:rsidR="004A3CA1" w:rsidRPr="0037395A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4A3CA1" w:rsidRDefault="004A3CA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דין אחד יהיה לאשה ולאיש לכל פעולה משפטית; וכל הוראת חוק המפלה לרעה</w:t>
                        </w:r>
                      </w:p>
                      <w:p w:rsidR="004A3CA1" w:rsidRPr="0037395A" w:rsidRDefault="004A3C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האשה׳ באשר היא אשה, לכל פעולה משפטית — אין נוהגים לפיה.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4A3CA1" w:rsidRDefault="004A3C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שויון לפני</w:t>
                        </w:r>
                      </w:p>
                      <w:p w:rsidR="004A3CA1" w:rsidRPr="0037395A" w:rsidRDefault="004A3C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</w:t>
                        </w:r>
                      </w:p>
                    </w:tc>
                  </w:tr>
                  <w:tr w:rsidR="004A3CA1" w:rsidRPr="0037395A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4A3CA1" w:rsidRDefault="004A3C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לאשה נשואה תהיה כשרות מלאה לקנין ולעשיה בקנינים כאילו היתה פנויה ; ואין</w:t>
                        </w:r>
                      </w:p>
                      <w:p w:rsidR="004A3CA1" w:rsidRPr="0037395A" w:rsidRDefault="004A3C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קניניה שרכשה לפני הנישואין נפגעים על ידי קשר הנישואין.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4A3CA1" w:rsidRDefault="004A3C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קניניה של</w:t>
                        </w:r>
                      </w:p>
                      <w:p w:rsidR="004A3CA1" w:rsidRPr="0037395A" w:rsidRDefault="004A3C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אשה נשואה</w:t>
                        </w:r>
                      </w:p>
                    </w:tc>
                  </w:tr>
                  <w:tr w:rsidR="004A3CA1" w:rsidRPr="0037395A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4A3CA1" w:rsidRDefault="004A3C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3* (א) האם והאב כאחד הם האפוטרופסים הטבעיים על ילדיהם ; מת אחד ההורים,</w:t>
                        </w:r>
                      </w:p>
                      <w:p w:rsidR="004A3CA1" w:rsidRDefault="004A3C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הנשאר בחיים הוא האפוטרופוס הטבעי.</w:t>
                        </w:r>
                      </w:p>
                      <w:p w:rsidR="004A3CA1" w:rsidRDefault="004A3C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סעיף קטן (א) כדי לפגוע בכוחו של בית משפט או בית דין</w:t>
                        </w:r>
                      </w:p>
                      <w:p w:rsidR="004A3CA1" w:rsidRDefault="004A3C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לנהוג בעניני אפוטרופסות על ילדים, הן על גופם והן על רכושם, בהתחשב עם</w:t>
                        </w:r>
                      </w:p>
                      <w:p w:rsidR="004A3CA1" w:rsidRPr="0037395A" w:rsidRDefault="004A3C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טובת הילדים בלבד.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4A3CA1" w:rsidRDefault="004A3C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אפוטרופסות</w:t>
                        </w:r>
                      </w:p>
                      <w:p w:rsidR="004A3CA1" w:rsidRPr="0037395A" w:rsidRDefault="004A3C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שווה</w:t>
                        </w:r>
                      </w:p>
                    </w:tc>
                  </w:tr>
                  <w:tr w:rsidR="004A3CA1" w:rsidRPr="0037395A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4A3CA1" w:rsidRDefault="004A3C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(א) על אף האמור בכל חוק אחר, זכויות בעזבון של אדמת מולק ומטלטלים ייקבעו</w:t>
                        </w:r>
                      </w:p>
                      <w:p w:rsidR="004A3CA1" w:rsidRDefault="004A3C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ההוראות הניתנות בתוספת השניה לפקודת הירושה 1.</w:t>
                        </w:r>
                      </w:p>
                      <w:p w:rsidR="004A3CA1" w:rsidRDefault="004A3C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יחולו על כל עזבון שהצו לחלוקתו יינתן אחרי שנכנס</w:t>
                        </w:r>
                      </w:p>
                      <w:p w:rsidR="004A3CA1" w:rsidRDefault="004A3C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לתקפו, אף אם המנוח מת לפני שנכנס חוק זה לתקפו.</w:t>
                        </w:r>
                      </w:p>
                      <w:p w:rsidR="004A3CA1" w:rsidRPr="0037395A" w:rsidRDefault="004A3C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הוראות סעיף קטן (א) חלות על נכסי עזבון שיש עליהם צוואה.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4A3CA1" w:rsidRDefault="004A3C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בעזבון י</w:t>
                        </w:r>
                      </w:p>
                      <w:p w:rsidR="004A3CA1" w:rsidRDefault="004A3C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אדמת מולק</w:t>
                        </w:r>
                      </w:p>
                      <w:p w:rsidR="004A3CA1" w:rsidRPr="0037395A" w:rsidRDefault="004A3C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ומטלטלים</w:t>
                        </w:r>
                      </w:p>
                    </w:tc>
                  </w:tr>
                  <w:tr w:rsidR="004A3CA1" w:rsidRPr="0037395A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4A3CA1" w:rsidRPr="0037395A" w:rsidRDefault="004A3C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אין חוק זה בא לפגוע בדיני איסור והיתר לנישואין ולגירושין.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4A3CA1" w:rsidRDefault="004A3C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נישואין</w:t>
                        </w:r>
                      </w:p>
                      <w:p w:rsidR="004A3CA1" w:rsidRPr="0037395A" w:rsidRDefault="004A3C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וגירושין</w:t>
                        </w:r>
                      </w:p>
                    </w:tc>
                  </w:tr>
                  <w:tr w:rsidR="004A3CA1" w:rsidRPr="0037395A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4A3CA1" w:rsidRPr="0037395A" w:rsidRDefault="004A3C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6* אין חוק זה בא לפגוע בכל הוראת חוק הבאה להגן על האשה באשר היא אשה.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4A3CA1" w:rsidRDefault="004A3C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הגנה על</w:t>
                        </w:r>
                      </w:p>
                      <w:p w:rsidR="004A3CA1" w:rsidRPr="0037395A" w:rsidRDefault="004A3C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האשה</w:t>
                        </w:r>
                      </w:p>
                    </w:tc>
                  </w:tr>
                  <w:tr w:rsidR="004A3CA1" w:rsidRPr="0037395A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4A3CA1" w:rsidRDefault="004A3C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כל בתי המשפט ינהגו לפי חוק זה; כן ינהג לפי חוק זה כל בית דין המוסמך לדון</w:t>
                        </w:r>
                      </w:p>
                      <w:p w:rsidR="004A3CA1" w:rsidRDefault="004A3C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 המעמד האישי, אלא אם כל הצדדים הם בני שמונה-עשרה שנה ומעלה והסכימו לפני</w:t>
                        </w:r>
                      </w:p>
                      <w:p w:rsidR="004A3CA1" w:rsidRPr="0037395A" w:rsidRDefault="004A3C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הדין, מרצונם הטוב, להתדיין לפי דיני עדתם.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4A3CA1" w:rsidRPr="0037395A" w:rsidRDefault="004A3C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החוק</w:t>
                        </w:r>
                      </w:p>
                    </w:tc>
                  </w:tr>
                  <w:tr w:rsidR="004A3CA1" w:rsidRPr="0037395A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4A3CA1" w:rsidRDefault="004A3C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פקודת החוק הפלילי, 19362, יתוקן כך:</w:t>
                        </w:r>
                      </w:p>
                      <w:p w:rsidR="004A3CA1" w:rsidRPr="0037395A" w:rsidRDefault="004A3C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פסקה (ג) של הסייג לסעיף 181 — בטלה;</w:t>
                        </w:r>
                      </w:p>
                    </w:tc>
                    <w:tc>
                      <w:tcPr>
                        <w:tcW w:w="711" w:type="pct"/>
                      </w:tcPr>
                      <w:p w:rsidR="004A3CA1" w:rsidRDefault="004A3C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4A3CA1" w:rsidRDefault="004A3C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 הפלילי,</w:t>
                        </w:r>
                      </w:p>
                      <w:p w:rsidR="004A3CA1" w:rsidRPr="0037395A" w:rsidRDefault="004A3C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1930</w:t>
                        </w:r>
                      </w:p>
                    </w:tc>
                  </w:tr>
                </w:tbl>
                <w:p w:rsidR="004A3CA1" w:rsidRDefault="004A3CA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283" o:spid="_x0000_s1028" type="#_x0000_t202" style="position:absolute;left:0;text-align:left;margin-left:179.65pt;margin-top:123.3pt;width:253.65pt;height:21.8pt;z-index:2;mso-position-horizontal-relative:page;mso-position-vertical-relative:page" stroked="f">
            <v:textbox style="mso-next-textbox:#_x0000_s26283" inset="0,0,0,0">
              <w:txbxContent>
                <w:p w:rsidR="004A3CA1" w:rsidRPr="0037395A" w:rsidRDefault="004A3CA1">
                  <w:pPr>
                    <w:pStyle w:val="OCRStyle1"/>
                    <w:ind w:left="65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שווי זכויות האשה, תשי״א-1951*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84" o:spid="_x0000_s1029" type="#_x0000_t202" style="position:absolute;left:0;text-align:left;margin-left:520pt;margin-top:75pt;width:51.9pt;height:22.75pt;z-index:1;mso-position-horizontal-relative:page;mso-position-vertical-relative:page" stroked="f">
            <v:textbox style="mso-next-textbox:#_x0000_s26284" inset="0,0,0,0">
              <w:txbxContent>
                <w:p w:rsidR="004A3CA1" w:rsidRDefault="004A3CA1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מספר 69</w:t>
                  </w:r>
                </w:p>
              </w:txbxContent>
            </v:textbox>
            <w10:wrap anchorx="page" anchory="page"/>
          </v:shape>
        </w:pict>
      </w:r>
    </w:p>
    <w:p w:rsidR="004A3CA1" w:rsidRDefault="004A3CA1">
      <w:pPr>
        <w:rPr>
          <w:rtl/>
        </w:rPr>
      </w:pPr>
      <w:r>
        <w:rPr>
          <w:rtl/>
        </w:rPr>
        <w:br w:type="page"/>
      </w:r>
    </w:p>
    <w:p w:rsidR="004A3CA1" w:rsidRDefault="00000000">
      <w:pPr>
        <w:rPr>
          <w:rtl/>
        </w:rPr>
      </w:pPr>
      <w:r>
        <w:pict>
          <v:shape id="_x0000_s26285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6285" inset="0,0,0,0">
              <w:txbxContent>
                <w:p w:rsidR="004A3CA1" w:rsidRDefault="004A3CA1">
                  <w:r>
                    <w:rPr>
                      <w:rtl/>
                    </w:rPr>
                    <w:t>249                                          ספר החוקים 82                   כ"ב בתמוז התשי"א 26.07.1951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86" o:spid="_x0000_s1031" type="#_x0000_t202" style="position:absolute;left:0;text-align:left;margin-left:173.15pt;margin-top:191.85pt;width:90.5pt;height:41.2pt;z-index:9;mso-position-horizontal-relative:page;mso-position-vertical-relative:page" stroked="f">
            <v:textbox style="mso-next-textbox:#_x0000_s26286" inset="0,0,0,0">
              <w:txbxContent>
                <w:p w:rsidR="004A3CA1" w:rsidRDefault="004A3CA1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4A3CA1" w:rsidRDefault="004A3CA1">
                  <w:pPr>
                    <w:pStyle w:val="OCRStyle2"/>
                    <w:ind w:left="17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87" o:spid="_x0000_s1032" type="#_x0000_t202" style="position:absolute;left:0;text-align:left;margin-left:278.25pt;margin-top:192.65pt;width:105.95pt;height:42.15pt;z-index:8;mso-position-horizontal-relative:page;mso-position-vertical-relative:page" stroked="f">
            <v:textbox style="mso-next-textbox:#_x0000_s26287" inset="0,0,0,0">
              <w:txbxContent>
                <w:p w:rsidR="004A3CA1" w:rsidRDefault="004A3CA1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A3CA1" w:rsidRDefault="004A3CA1">
                  <w:pPr>
                    <w:pStyle w:val="OCRStyle2"/>
                    <w:ind w:left="45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88" o:spid="_x0000_s1033" type="#_x0000_t202" style="position:absolute;left:0;text-align:left;margin-left:463.4pt;margin-top:223.75pt;width:101.55pt;height:39.6pt;z-index:7;mso-position-horizontal-relative:page;mso-position-vertical-relative:page" stroked="f">
            <v:textbox style="mso-next-textbox:#_x0000_s26288" inset="0,0,0,0">
              <w:txbxContent>
                <w:p w:rsidR="004A3CA1" w:rsidRDefault="004A3CA1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4A3CA1" w:rsidRDefault="004A3CA1">
                  <w:pPr>
                    <w:pStyle w:val="OCRStyle2"/>
                    <w:ind w:left="40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89" o:spid="_x0000_s1034" type="#_x0000_t202" style="position:absolute;left:0;text-align:left;margin-left:100.85pt;margin-top:51.5pt;width:473.4pt;height:132.65pt;z-index:6;mso-position-horizontal-relative:page;mso-position-vertical-relative:page" stroked="f">
            <v:textbox style="mso-next-textbox:#_x0000_s2628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0"/>
                    <w:gridCol w:w="6188"/>
                    <w:gridCol w:w="1391"/>
                  </w:tblGrid>
                  <w:tr w:rsidR="004A3CA1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4A3CA1" w:rsidRDefault="004A3CA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02" w:type="pct"/>
                        <w:gridSpan w:val="2"/>
                      </w:tcPr>
                      <w:p w:rsidR="004A3CA1" w:rsidRDefault="004A3C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181 יבוא סעיף זה-</w:t>
                        </w:r>
                      </w:p>
                    </w:tc>
                  </w:tr>
                  <w:tr w:rsidR="004A3CA1" w:rsidRPr="004A3CA1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4A3CA1" w:rsidRDefault="004A3CA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94" w:type="pct"/>
                      </w:tcPr>
                      <w:p w:rsidR="004A3CA1" w:rsidRDefault="004A3C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181א. התיר האיש קשר הנישואין על כרחה של האשה, באין פסק</w:t>
                        </w:r>
                      </w:p>
                      <w:p w:rsidR="004A3CA1" w:rsidRDefault="004A3C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של בית משפט או בית דין מוסמך המחייב את האשה להתרת קשר</w:t>
                        </w:r>
                      </w:p>
                      <w:p w:rsidR="004A3CA1" w:rsidRDefault="004A3C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הנישואין - האיש אשם בפשע ודינו מאסר עד חמש שנים".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4A3CA1" w:rsidRDefault="004A3C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"התרת קשר</w:t>
                        </w:r>
                      </w:p>
                      <w:p w:rsidR="004A3CA1" w:rsidRDefault="004A3CA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נישואין על</w:t>
                        </w:r>
                      </w:p>
                      <w:p w:rsidR="004A3CA1" w:rsidRPr="004A3CA1" w:rsidRDefault="004A3CA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כרחה של אשה</w:t>
                        </w:r>
                      </w:p>
                    </w:tc>
                  </w:tr>
                  <w:tr w:rsidR="004A3CA1" w:rsidRPr="004A3CA1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4A3CA1" w:rsidRPr="004A3CA1" w:rsidRDefault="004A3CA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402" w:type="pct"/>
                        <w:gridSpan w:val="2"/>
                      </w:tcPr>
                      <w:p w:rsidR="004A3CA1" w:rsidRPr="004A3CA1" w:rsidRDefault="004A3C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שר המשפטים ממונה על ביצוע חוק זה.</w:t>
                        </w:r>
                      </w:p>
                    </w:tc>
                  </w:tr>
                </w:tbl>
                <w:p w:rsidR="004A3CA1" w:rsidRDefault="004A3CA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7395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E549B6E-3C44-416D-B7B7-787159C40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7395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A3CA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2008-04-06T17:30:00Z</dcterms:created>
  <dcterms:modified xsi:type="dcterms:W3CDTF">2008-04-06T17:30:00Z</dcterms:modified>
</cp:coreProperties>
</file>