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468E" w:rsidRDefault="00A4468E">
      <w:pPr>
        <w:rPr>
          <w:rtl/>
        </w:rPr>
      </w:pPr>
    </w:p>
    <w:p w:rsidR="00A446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42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427" inset="0,0,0,0">
              <w:txbxContent>
                <w:p w:rsidR="00A15AB2" w:rsidRDefault="00A15AB2">
                  <w:r>
                    <w:rPr>
                      <w:rtl/>
                    </w:rPr>
                    <w:t>128                                         ספר החוקים 1088                    י"ח באב התשמ"ג 28.07.1983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28" o:spid="_x0000_s1026" type="#_x0000_t202" style="position:absolute;left:0;text-align:left;margin-left:75.95pt;margin-top:679.9pt;width:409.25pt;height:61.95pt;z-index:3;mso-wrap-style:none;mso-position-horizontal-relative:page;mso-position-vertical-relative:page" stroked="f">
            <v:textbox style="mso-next-textbox:#_x0000_s27428" inset="0,0,0,0">
              <w:txbxContent>
                <w:p w:rsidR="00A15AB2" w:rsidRDefault="00A15AB2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באב התשמ"ג (25 ביולי 1983); הצעת החוק ודברי הסבר פורסמו בה"ח 1622, התשמ''ג,</w:t>
                  </w:r>
                </w:p>
                <w:p w:rsidR="00A15AB2" w:rsidRPr="00A4468E" w:rsidRDefault="00A15AB2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עמ' 150.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29" o:spid="_x0000_s1027" type="#_x0000_t202" style="position:absolute;left:0;text-align:left;margin-left:88.45pt;margin-top:104.9pt;width:464.5pt;height:574.2pt;z-index:2;mso-wrap-style:none;mso-position-horizontal-relative:page;mso-position-vertical-relative:page" stroked="f">
            <v:textbox style="mso-next-textbox:#_x0000_s27429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336"/>
                  </w:tblGrid>
                  <w:tr w:rsidR="00A15AB2" w:rsidRPr="00A4468E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A15AB2" w:rsidRDefault="00A15AB2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אוכל" - מקום שבו עוסקים במכירה לציבור של מצרכים או בהגשתם, לשם אכילה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שתיה במקום, וכן אטליז, ולענין בית מלון - החלקים של בית המלון שבהם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עוסקים בהכנתם של מצרכים או בהגשתם לשם אכילה או שתיה במקום;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"מצרך" - מאכלים ומשקאות, ולענין אטליז - בשר ומוצרי בשר;</w:t>
                        </w:r>
                      </w:p>
                      <w:p w:rsidR="00A15AB2" w:rsidRPr="00A4468E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"ייצור של מצרך" - לרבות אריזתו.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15AB2" w:rsidRPr="00A4468E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A15AB2" w:rsidRPr="00A4468E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אלה רשאים לתת תעודת הכשר לענין חוק זה;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מועצת הרבנות הראשית לישראל או רב שהיא הסמיכה לכך;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רב מקומי המכהן במקום שבו נמצא בית האוכל, מקום השחיטה או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הייצור של מצרך;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תעודת הכשר בצה"ל - הרב הראשי לצבא-הגנה לישראל או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 צבאי שהוא הסמיך לענין חוק זה.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"רב מקומי" - מי שבידו אישור בכתב מאת מועצת הרבנות הראשית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שהוא רב בישראל, והוא מכהן כרב עיר, רב מועצה אזורית,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 מושב או רב קיבוץ;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"צה"ל" - לרבות כל שלוחות מערכת הבטחון וכן בעל בית אוכל או יצרן</w:t>
                        </w:r>
                      </w:p>
                      <w:p w:rsidR="00A15AB2" w:rsidRPr="00A4468E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העוסק עבור צה"ל או שלוחה של מערכת הבטחון.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מוסמכים לתת</w:t>
                        </w:r>
                      </w:p>
                      <w:p w:rsidR="00A15AB2" w:rsidRPr="00A4468E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הכשר</w:t>
                        </w:r>
                      </w:p>
                    </w:tc>
                  </w:tr>
                  <w:tr w:rsidR="00A15AB2" w:rsidRPr="00A4468E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בעל בית אוכל לא יציג בכתב את בית האוכל ככשר, אלא אם כן ניתנה לו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הכשר.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בית אוכל שבידו תעודת הכשר ובית האוכל מוצג בכתב ככשר, לא יגיש</w:t>
                        </w:r>
                      </w:p>
                      <w:p w:rsidR="00A15AB2" w:rsidRPr="00A4468E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ימכור בו מצרכים שאינם כשרים לפי דין תורה.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הונאה</w:t>
                        </w:r>
                      </w:p>
                      <w:p w:rsidR="00A15AB2" w:rsidRPr="00A4468E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גבית אוכל</w:t>
                        </w:r>
                      </w:p>
                    </w:tc>
                  </w:tr>
                  <w:tr w:rsidR="00A15AB2" w:rsidRPr="00A4468E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יצרן של מצרך לא יציין על מצרך שייצר או על אריזתו כי הוא כשר ולא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יציגו ככשר בפרסום או בדרך אחרת, אלא אם כן ניתנה לו תעודת הכשר.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יצרן של מצרך שניתנה עליו תעודת הכשר, לא ישווק מצרך שאינו כשר לפי</w:t>
                        </w:r>
                      </w:p>
                      <w:p w:rsidR="00A15AB2" w:rsidRPr="00A4468E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תורה בציון שהוא כשר.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הונאה</w:t>
                        </w:r>
                      </w:p>
                      <w:p w:rsidR="00A15AB2" w:rsidRPr="00A4468E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בייצור</w:t>
                        </w:r>
                      </w:p>
                    </w:tc>
                  </w:tr>
                  <w:tr w:rsidR="00A15AB2" w:rsidRPr="00A4468E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העוסק במכירת מצרכים לציבור לא ימכור ולא יציע למכירה מצרך שאינו כשר</w:t>
                        </w:r>
                      </w:p>
                      <w:p w:rsidR="00A15AB2" w:rsidRPr="00A4468E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דין תורה תוך הצגתו בכתב ככשר.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הונאה</w:t>
                        </w:r>
                      </w:p>
                      <w:p w:rsidR="00A15AB2" w:rsidRPr="00A4468E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במכירה</w:t>
                        </w:r>
                      </w:p>
                    </w:tc>
                  </w:tr>
                  <w:tr w:rsidR="00A15AB2" w:rsidRPr="00A4468E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באישום לפי סעיפים 4,3 או 5, תהא זו הגנה טובה שהנאשם מכר או הגיש, בתום לב,</w:t>
                        </w:r>
                      </w:p>
                      <w:p w:rsidR="00A15AB2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מצרך שניתנה לגביו תעודת הכשר, או שהשתמש כאמור במרכיב שניתנה לגביו תעודת</w:t>
                        </w:r>
                      </w:p>
                      <w:p w:rsidR="00A15AB2" w:rsidRPr="00A4468E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15AB2" w:rsidRPr="00A4468E" w:rsidRDefault="00A1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</w:t>
                        </w:r>
                      </w:p>
                    </w:tc>
                  </w:tr>
                </w:tbl>
                <w:p w:rsidR="00A15AB2" w:rsidRDefault="00A15A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430" o:spid="_x0000_s1028" type="#_x0000_t202" style="position:absolute;left:0;text-align:left;margin-left:155.15pt;margin-top:79.35pt;width:264.9pt;height:21.4pt;z-index:1;mso-wrap-style:none;mso-position-horizontal-relative:page;mso-position-vertical-relative:page" stroked="f">
            <v:textbox style="mso-next-textbox:#_x0000_s27430" inset="0,0,0,0">
              <w:txbxContent>
                <w:p w:rsidR="00A15AB2" w:rsidRPr="00A4468E" w:rsidRDefault="00A15AB2">
                  <w:pPr>
                    <w:pStyle w:val="OCRStyle1"/>
                    <w:ind w:left="43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איסור הונאה בכשרות, התשמ"ג-1983 *</w:t>
                  </w:r>
                </w:p>
              </w:txbxContent>
            </v:textbox>
            <w10:wrap anchorx="page" anchory="page"/>
          </v:shape>
        </w:pict>
      </w:r>
    </w:p>
    <w:p w:rsidR="00A15AB2" w:rsidRDefault="00A15AB2">
      <w:pPr>
        <w:rPr>
          <w:rtl/>
        </w:rPr>
      </w:pPr>
      <w:r>
        <w:rPr>
          <w:rtl/>
        </w:rPr>
        <w:br w:type="page"/>
      </w:r>
    </w:p>
    <w:p w:rsidR="00A15AB2" w:rsidRDefault="00000000">
      <w:pPr>
        <w:rPr>
          <w:rtl/>
        </w:rPr>
      </w:pPr>
      <w:r>
        <w:pict>
          <v:shape id="_x0000_s2743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431" inset="0,0,0,0">
              <w:txbxContent>
                <w:p w:rsidR="00A15AB2" w:rsidRDefault="00A15AB2">
                  <w:r>
                    <w:rPr>
                      <w:rtl/>
                    </w:rPr>
                    <w:t>129                                         ספר החוקים 1088                    י"ח באב התשמ"ג 28.07.1983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32" o:spid="_x0000_s1030" type="#_x0000_t202" style="position:absolute;left:0;text-align:left;margin-left:376.15pt;margin-top:706.4pt;width:182.15pt;height:27.3pt;z-index:9;mso-wrap-style:none;mso-position-horizontal-relative:page;mso-position-vertical-relative:page" stroked="f">
            <v:textbox style="mso-next-textbox:#_x0000_s27432" inset="0,0,0,0">
              <w:txbxContent>
                <w:p w:rsidR="00A15AB2" w:rsidRDefault="00A15AB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433" o:spid="_x0000_s1031" type="#_x0000_t202" style="position:absolute;left:0;text-align:left;margin-left:171.45pt;margin-top:612.35pt;width:95.05pt;height:39.6pt;z-index:8;mso-wrap-style:none;mso-position-horizontal-relative:page;mso-position-vertical-relative:page" stroked="f">
            <v:textbox style="mso-next-textbox:#_x0000_s27433" inset="0,0,0,0">
              <w:txbxContent>
                <w:p w:rsidR="00A15AB2" w:rsidRDefault="00A15AB2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A15AB2" w:rsidRDefault="00A15AB2">
                  <w:pPr>
                    <w:pStyle w:val="OCRStyle2"/>
                    <w:ind w:left="14"/>
                  </w:pPr>
                  <w:r>
                    <w:rPr>
                      <w:rtl/>
                    </w:rPr>
                    <w:t>שר לענייני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34" o:spid="_x0000_s1032" type="#_x0000_t202" style="position:absolute;left:0;text-align:left;margin-left:307.65pt;margin-top:614.95pt;width:95.65pt;height:42pt;z-index:7;mso-wrap-style:none;mso-position-horizontal-relative:page;mso-position-vertical-relative:page" stroked="f">
            <v:textbox style="mso-next-textbox:#_x0000_s27434" inset="0,0,0,0">
              <w:txbxContent>
                <w:p w:rsidR="00A15AB2" w:rsidRDefault="00A15AB2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15AB2" w:rsidRDefault="00A15AB2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35" o:spid="_x0000_s1033" type="#_x0000_t202" style="position:absolute;left:0;text-align:left;margin-left:442.1pt;margin-top:645.45pt;width:118pt;height:58.6pt;z-index:6;mso-wrap-style:none;mso-position-horizontal-relative:page;mso-position-vertical-relative:page" stroked="f">
            <v:textbox style="mso-next-textbox:#_x0000_s27435" inset="0,0,0,0">
              <w:txbxContent>
                <w:p w:rsidR="00A15AB2" w:rsidRDefault="00A15AB2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15AB2" w:rsidRDefault="00A15AB2">
                  <w:pPr>
                    <w:pStyle w:val="OCRStyle2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A15AB2" w:rsidRPr="00A15AB2" w:rsidRDefault="00A15AB2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1 ס"ח התשל"ז,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36" o:spid="_x0000_s1034" type="#_x0000_t202" style="position:absolute;left:0;text-align:left;margin-left:96.4pt;margin-top:67.85pt;width:453pt;height:542.9pt;z-index:5;mso-wrap-style:none;mso-position-horizontal-relative:page;mso-position-vertical-relative:page" stroked="f">
            <v:textbox style="mso-next-textbox:#_x0000_s27436" inset="0,0,0,0">
              <w:txbxContent>
                <w:tbl>
                  <w:tblPr>
                    <w:tblW w:w="48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6983"/>
                  </w:tblGrid>
                  <w:tr w:rsidR="00A15AB2" w:rsidRPr="00A15AB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הונאה</w:t>
                        </w:r>
                      </w:p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בשחיטה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לא יעסוק אדם בשחיטה תוך הצגת שחיטתו ככשרה, אלא אם כן ניתנה לו תעודת</w:t>
                        </w:r>
                      </w:p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שוחט מאת מועצת הרבנות הראשית לישראל או מאת מי שהיא הסמיכה לכך או מאת</w:t>
                        </w:r>
                      </w:p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 עיר, לצורר עירו.</w:t>
                        </w:r>
                      </w:p>
                    </w:tc>
                  </w:tr>
                  <w:tr w:rsidR="00A15AB2" w:rsidRPr="00A15AB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הראיה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הטוען שבידו תעודת הכשר או תעודת שוחט לפי חוק זה - עליו הראיה.</w:t>
                        </w:r>
                      </w:p>
                    </w:tc>
                  </w:tr>
                  <w:tr w:rsidR="00A15AB2" w:rsidRPr="00A15AB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תוס6ת לציון</w:t>
                        </w:r>
                      </w:p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יצרן או יבואן של מצרך הנושא עליו ציון שהוא כשר לא ימכור את המצרך ולא</w:t>
                        </w:r>
                      </w:p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יציעו למכירה אלא אם כן המצרך נושא עליו גם ציון שמו של נותן תעודת ההכשר.</w:t>
                        </w:r>
                      </w:p>
                    </w:tc>
                  </w:tr>
                  <w:tr w:rsidR="00A15AB2" w:rsidRPr="00A15AB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הצגה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מי שבידו תעודת הכשר, יציג אותה במקום גלוי במקום עיסוקו,</w:t>
                        </w:r>
                      </w:p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יציג אדם תעודת הכשר כאמור בסעיף קטן (א) אלא בתקופה שבה התעודה</w:t>
                        </w:r>
                      </w:p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בתוקף.</w:t>
                        </w:r>
                      </w:p>
                    </w:tc>
                  </w:tr>
                  <w:tr w:rsidR="00A15AB2" w:rsidRPr="00A15AB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לשיקולים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במתן תעודת הכשר, יתחשב הרב בדיני כשרות בלבד.</w:t>
                        </w:r>
                      </w:p>
                    </w:tc>
                  </w:tr>
                  <w:tr w:rsidR="00A15AB2" w:rsidRPr="00A15AB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מי שסרבו לתת לו תעודת הכשר רשאי לערור על כך לפני מועצת הרבנות הראשית</w:t>
                        </w:r>
                      </w:p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לישראל; החלטת המועצה בערר תינתן תור מאה ימים.</w:t>
                        </w:r>
                      </w:p>
                    </w:tc>
                  </w:tr>
                  <w:tr w:rsidR="00A15AB2" w:rsidRPr="00A15AB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 - עובד</w:t>
                        </w:r>
                      </w:p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לענין חוק זה יראו רב המוסמך לתת תעודת הכשר כעובד הציבור, כמשמעותו</w:t>
                        </w:r>
                      </w:p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העונשין, התשל"ז-1977 1,</w:t>
                        </w:r>
                      </w:p>
                    </w:tc>
                  </w:tr>
                  <w:tr w:rsidR="00A15AB2" w:rsidRPr="00A15AB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העובר עבירה לפי סעיפים 3 עד 5, 7, 9 או 10, דינו - מאסר שנה.</w:t>
                        </w:r>
                      </w:p>
                    </w:tc>
                  </w:tr>
                  <w:tr w:rsidR="00A15AB2" w:rsidRPr="00A15AB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בחבר-</w:t>
                        </w:r>
                      </w:p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נעברה עבירה לפי חוק זה בידי חבר-בני-אדם, יאשם בעבירה גם אותו אדם אשר</w:t>
                        </w:r>
                      </w:p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ביצוע העבירה היה מנהל פעיל, שותף - למעט שותף מוגבל - או עובד מינהלי</w:t>
                        </w:r>
                      </w:p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בכיר באותו תאגיד, האחראים לענין הנדון, אם לא הוכיח שהעבירה נעברה שלא בידיעתו</w:t>
                        </w:r>
                      </w:p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ושנקט כל האמצעים הסבירים להבטחת שמירתו של חוק זה.</w:t>
                        </w:r>
                      </w:p>
                    </w:tc>
                  </w:tr>
                  <w:tr w:rsidR="00A15AB2" w:rsidRPr="00A15AB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אחריותו של</w:t>
                        </w:r>
                      </w:p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נעברה עבירה לפי חוק זה בידי עובד במהלך עיסוקו של מעבידו, יאשם בעבירה</w:t>
                        </w:r>
                      </w:p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מעבידו, אם הוכח שהעבירה נעברה בידיעתו ושלא נקט כל האמצעים הסבירים להבטחת</w:t>
                        </w:r>
                      </w:p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שמירתו של חוק זה.</w:t>
                        </w:r>
                      </w:p>
                    </w:tc>
                  </w:tr>
                  <w:tr w:rsidR="00A15AB2" w:rsidRPr="00A15AB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השר לעניני דתות ממונה על ביצוע חוק זה והוא רשאי, בהסכמת שר המשפטים</w:t>
                        </w:r>
                      </w:p>
                      <w:p w:rsid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החוקה חוק ומשפט של הכנסת, ולענין פסקה (3) בסעיף 2 (א) - גם</w:t>
                        </w:r>
                      </w:p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הבטחון - להתקין תקנות בכל הנוגע לביצועו.</w:t>
                        </w:r>
                      </w:p>
                    </w:tc>
                  </w:tr>
                  <w:tr w:rsidR="00A15AB2" w:rsidRPr="00A15AB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חוק זה בא להוסיף על כל דין ולא לגרוע ממנו.</w:t>
                        </w:r>
                      </w:p>
                    </w:tc>
                  </w:tr>
                  <w:tr w:rsidR="00A15AB2" w:rsidRPr="00A15AB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A15AB2" w:rsidRPr="00A15AB2" w:rsidRDefault="00A1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תחילתו של חוק זה ביום כ"ה בכסלו התשמ"ד (1 בדצמבר 1983).</w:t>
                        </w:r>
                      </w:p>
                    </w:tc>
                  </w:tr>
                </w:tbl>
                <w:p w:rsidR="00A15AB2" w:rsidRDefault="00A15AB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446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CED76D-D326-4609-B8A5-C559A325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4468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15AB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2008-04-07T01:29:00Z</dcterms:created>
  <dcterms:modified xsi:type="dcterms:W3CDTF">2008-04-07T01:29:00Z</dcterms:modified>
</cp:coreProperties>
</file>