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5C73" w:rsidRDefault="00695C73">
      <w:pPr>
        <w:rPr>
          <w:rtl/>
        </w:rPr>
      </w:pPr>
    </w:p>
    <w:p w:rsidR="00695C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7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786" inset="0,0,0,0">
              <w:txbxContent>
                <w:p w:rsidR="00D74F75" w:rsidRDefault="00D74F75">
                  <w:r>
                    <w:rPr>
                      <w:rtl/>
                    </w:rPr>
                    <w:t>25                                          ספר החוקים 1071                   י"ט בטבת התשמ"ג 04.01.1983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87" o:spid="_x0000_s1026" type="#_x0000_t202" style="position:absolute;left:0;text-align:left;margin-left:153.2pt;margin-top:657.65pt;width:391.05pt;height:70.9pt;z-index:3;mso-wrap-style:none;mso-position-horizontal-relative:page;mso-position-vertical-relative:page" stroked="f">
            <v:textbox style="mso-next-textbox:#_x0000_s27787" inset="0,0,0,0">
              <w:txbxContent>
                <w:p w:rsidR="00D74F75" w:rsidRDefault="00D74F7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התשמ"ג (28 בדצמבר 1982); הצעת החוק ודברי הסבר פורסמו בה"ח 1579,</w:t>
                  </w:r>
                </w:p>
                <w:p w:rsidR="00D74F75" w:rsidRDefault="00D74F7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התשמ''ב, עמ' 188.</w:t>
                  </w:r>
                </w:p>
                <w:p w:rsidR="00D74F75" w:rsidRDefault="00D74F75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התשכ''ה, עמ' 307; התשמ''א, עמ' 184; התשמ''ב, עמ' 229.</w:t>
                  </w:r>
                </w:p>
                <w:p w:rsidR="00D74F75" w:rsidRPr="00695C73" w:rsidRDefault="00D74F7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2 ס"ח התשכ''א, עמ'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88" o:spid="_x0000_s1027" type="#_x0000_t202" style="position:absolute;left:0;text-align:left;margin-left:92pt;margin-top:90.95pt;width:451.45pt;height:565.9pt;z-index:2;mso-wrap-style:none;mso-position-horizontal-relative:page;mso-position-vertical-relative:page" stroked="f">
            <v:textbox style="mso-next-textbox:#_x0000_s27788" inset="0,0,0,0">
              <w:txbxContent>
                <w:tbl>
                  <w:tblPr>
                    <w:tblW w:w="48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6995"/>
                  </w:tblGrid>
                  <w:tr w:rsidR="00D74F75" w:rsidRPr="00695C7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97א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התכנון והבניה, התשכ"ה-1965  1 (להלן - החוק העיקרי), בסעיף 97א(ב),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'ילענין פרקים חי ו-טי, וסעיפי פקודת בנין ערים, 1936, הנזכרים בסעיף 270" יבוא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פרקים ח', ח' 1 ו-ט"'.</w:t>
                        </w:r>
                      </w:p>
                    </w:tc>
                  </w:tr>
                  <w:tr w:rsidR="00D74F75" w:rsidRPr="00695C7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197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197 לחוק העיקרי, במקום סעיף קטן (א) יבוא: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נפגעו על ידי תכנית, שלא בדרך הפקעה, מקרקעין הנמצאים בתחום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 גובלים עמו, מי שביום תחילתה של התכנית היה בעל המקרקעין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זכות בהם זכאי לפיצויים מהועדה המקומית, בכפוף לאמור בסעיף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200."</w:t>
                        </w:r>
                      </w:p>
                    </w:tc>
                  </w:tr>
                  <w:tr w:rsidR="00D74F75" w:rsidRPr="00695C7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259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259(ד) לחוק העיקרי, במקום פסקה (3) יבוא: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ההוראות שבסעיף 2(ג) לתוספת השלישית לא יחולו."</w:t>
                        </w:r>
                      </w:p>
                    </w:tc>
                  </w:tr>
                  <w:tr w:rsidR="00D74F75" w:rsidRPr="00695C7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'השלישית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בתוספת השלישית לחוק העיקרי (להלן - התוספת), בסעיף 1(א) -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"מימוש זכויות" -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בסופה יבוא "שלא ניתן היה לתיתו אלמלא אישור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תכנית, מתן הקלה או התרת שימוש חורג שבעקבותיהם חל היטל השבחה'';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במקום הסיפה המתחילה במלים "בפסקה זו" יבוא: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לא יראו כמימוש זכויות רישום בפנקסי המקרקעין של זכויות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אשר המחזיק בהם בפועל לפני יום כ"ט בסיון התשמ"א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ביולי 1981), היה בעלם כהגדרתו בחוק מס רכוש וקרן פיצויים,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התשכ"א-1961 ;2"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"מימוש זכויות" יבוא: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""קרוב" - בן זוג, הורה, הורה הורה, צאצא או צאצא של בן הזוג, אח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 זוגם;".</w:t>
                        </w:r>
                      </w:p>
                    </w:tc>
                  </w:tr>
                  <w:tr w:rsidR="00D74F75" w:rsidRPr="00695C7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השלישית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2(א) לתוספת -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במלים "ההיטל יחול בעקבות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תכנית" יבוא ''היטל בעקבות אישור תכנית יחול על מקרקעין הנמצאים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התכנית או הגובלים עמה בלבד";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יבוא;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היה המחכיר זכאי, לפי הסכם, לתבוע מן החוכר תשלום עבור ניצול</w:t>
                        </w:r>
                      </w:p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ההשבחה, יהיה החוכר זכאי לנכות את סכום ההיטל מכל תשלום שעליו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למחכיר כאמור."</w:t>
                        </w:r>
                      </w:p>
                    </w:tc>
                  </w:tr>
                  <w:tr w:rsidR="00D74F75" w:rsidRPr="00695C7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השלישית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D74F75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י בסעיף 6 לתוספת, במקום "לדרוש שומה חוזרת או לערער על השומה" יבוא</w:t>
                        </w:r>
                      </w:p>
                      <w:p w:rsidR="00D74F75" w:rsidRPr="00695C73" w:rsidRDefault="00D74F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"להגיש שומה מטעמו או לערער על החיוב בהיטל".</w:t>
                        </w:r>
                      </w:p>
                    </w:tc>
                  </w:tr>
                </w:tbl>
                <w:p w:rsidR="00D74F75" w:rsidRDefault="00D74F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789" o:spid="_x0000_s1028" type="#_x0000_t202" style="position:absolute;left:0;text-align:left;margin-left:218.7pt;margin-top:69.4pt;width:260.35pt;height:21.4pt;z-index:1;mso-wrap-style:none;mso-position-horizontal-relative:page;mso-position-vertical-relative:page" stroked="f">
            <v:textbox style="mso-next-textbox:#_x0000_s27789" inset="0,0,0,0">
              <w:txbxContent>
                <w:p w:rsidR="00D74F75" w:rsidRPr="00695C73" w:rsidRDefault="00D74F75">
                  <w:pPr>
                    <w:pStyle w:val="OCRStyle1"/>
                    <w:ind w:left="3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התכנון והבניה (תיקון מס' 20), התשמ"ג-1982*</w:t>
                  </w:r>
                </w:p>
              </w:txbxContent>
            </v:textbox>
            <w10:wrap anchorx="page" anchory="page"/>
          </v:shape>
        </w:pict>
      </w:r>
    </w:p>
    <w:p w:rsidR="000105F8" w:rsidRDefault="000105F8">
      <w:pPr>
        <w:rPr>
          <w:rtl/>
        </w:rPr>
      </w:pPr>
      <w:r>
        <w:rPr>
          <w:rtl/>
        </w:rPr>
        <w:br w:type="page"/>
      </w:r>
    </w:p>
    <w:p w:rsidR="000105F8" w:rsidRDefault="00000000">
      <w:pPr>
        <w:rPr>
          <w:rtl/>
        </w:rPr>
      </w:pPr>
      <w:r>
        <w:pict>
          <v:shape id="_x0000_s2779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790" inset="0,0,0,0">
              <w:txbxContent>
                <w:p w:rsidR="00D74F75" w:rsidRDefault="00D74F75">
                  <w:r>
                    <w:rPr>
                      <w:rtl/>
                    </w:rPr>
                    <w:t>26                                          ספר החוקים 1071                   י"ט בטבת התשמ"ג 04.01.1983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91" o:spid="_x0000_s1030" type="#_x0000_t202" style="position:absolute;left:0;text-align:left;margin-left:92.15pt;margin-top:712.15pt;width:169.3pt;height:27.9pt;z-index:6;mso-wrap-style:none;mso-position-horizontal-relative:page;mso-position-vertical-relative:page" stroked="f">
            <v:textbox style="mso-next-textbox:#_x0000_s27791" inset="0,0,0,0">
              <w:txbxContent>
                <w:p w:rsidR="00D74F75" w:rsidRDefault="00D74F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792" o:spid="_x0000_s1031" type="#_x0000_t202" style="position:absolute;left:0;text-align:left;margin-left:88.95pt;margin-top:76.75pt;width:457.8pt;height:631.2pt;z-index:5;mso-wrap-style:none;mso-position-horizontal-relative:page;mso-position-vertical-relative:page" stroked="f">
            <v:textbox style="mso-next-textbox:#_x0000_s27792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182"/>
                    <w:gridCol w:w="1289"/>
                  </w:tblGrid>
                  <w:tr w:rsidR="00D74F75" w:rsidRPr="000105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האמור בסעיף 7 לתוספת יסומן (א) ואחריו יבוא: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מימש החייב בהיטל חלק מן הזכויות במקרקעין ישלם היטל בשיעור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לפי מידת המימוש החייבת בהיטל,"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D74F75" w:rsidRPr="000105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9 לתוספת, במקום "לפני מועד תשלומו בפועל של ההיטל" יבוא "לפני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לתשלום ההיטל".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D74F75" w:rsidRPr="000105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D74F75" w:rsidRPr="000105F8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12 לתוספת יבוא:</w:t>
                        </w:r>
                      </w:p>
                    </w:tc>
                    <w:tc>
                      <w:tcPr>
                        <w:tcW w:w="774" w:type="pct"/>
                        <w:vMerge w:val="restart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12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D74F75">
                    <w:trPr>
                      <w:jc w:val="right"/>
                    </w:trPr>
                    <w:tc>
                      <w:tcPr>
                        <w:tcW w:w="3516" w:type="pct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במרחב תכנון מקומי שבתחומו נמצאות יותר מרשות מקומית אחת,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19 לחוק זה, יועברו לרשות המקומית או לישוב הנמצא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מרחב התכנון האמור ואינו רשות מקומית, הסכומים שייגבו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כהיטל בשל מקרקעין שבתחומם, לאחר ניכר המגיע מהם לועדה המקו-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 לפי סעיף 24 לחוק זה, לצורר המטרות המפורטות בסעיף 13."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"חלוקת ההיטל</w:t>
                        </w:r>
                      </w:p>
                    </w:tc>
                    <w:tc>
                      <w:tcPr>
                        <w:tcW w:w="774" w:type="pct"/>
                        <w:vMerge/>
                      </w:tcPr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74F75" w:rsidRPr="000105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D74F75" w:rsidRPr="000105F8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12 לתוספת יבוא:</w:t>
                        </w:r>
                      </w:p>
                    </w:tc>
                    <w:tc>
                      <w:tcPr>
                        <w:tcW w:w="774" w:type="pct"/>
                        <w:vMerge w:val="restart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D74F75">
                    <w:trPr>
                      <w:jc w:val="right"/>
                    </w:trPr>
                    <w:tc>
                      <w:tcPr>
                        <w:tcW w:w="3516" w:type="pct"/>
                      </w:tcPr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במרחב תכנון מקומי שבו מועצות אזוריות, והאגודות השי-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תופיות להתיישבות שבתחומו או חבריהן או הגרים בתחום מרחב התכנון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נושאים בהוצאות שלהן מיועד ההיטל כאמור בסעיף 13, רשאית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להחליט בדבר ההיטל ושיעורו, וכן לקבוע דרכי שומה,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וגביה של ההיטל מהאגודות השיתופיות האמורות, מחבריהן או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מהגרים בתחום מרחב התכנה, לפי מה שלדעת הועדה נחוץ להוצאות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13.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על ידי החלטת הועדה המקומית, כאמור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רשאי לערור עליה בפני הועדה המחוזית, תוך 30 ימים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הודעה לו; הוראות סעיף 14 (ד) יחולו גם על ערר לפי סעיף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 במועצות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אזוריות</w:t>
                        </w:r>
                      </w:p>
                    </w:tc>
                    <w:tc>
                      <w:tcPr>
                        <w:tcW w:w="774" w:type="pct"/>
                        <w:vMerge/>
                      </w:tcPr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74F75" w:rsidRPr="000105F8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D74F75" w:rsidRPr="000105F8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14 לתוספת יבוא:</w:t>
                        </w:r>
                      </w:p>
                    </w:tc>
                    <w:tc>
                      <w:tcPr>
                        <w:tcW w:w="774" w:type="pct"/>
                        <w:vMerge w:val="restart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D74F75">
                    <w:trPr>
                      <w:jc w:val="right"/>
                    </w:trPr>
                    <w:tc>
                      <w:tcPr>
                        <w:tcW w:w="3516" w:type="pct"/>
                      </w:tcPr>
                      <w:p w:rsidR="00D74F75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הוצג לוח שומה, כאמור בסעיף 6, רשאי כל מי שמקרקעיו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בלוח, להגיש שומה אחרת שהכין שמאי מקרקעין מטעמו תוך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הצגת לוח השומה; הוכנה שומה עקב מימוש זכויות במקר-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רשאי החייב בהיטל להגיש שומה אחרת שהכין שמאי מקרקעין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מטעמו, תור 30 ימים מיום שהודעה לו השומה.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הסכימו הועדה המקומית ובעל המקרקעין לשומה, יותאם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 בהיטל לשומה שהוסכם עליה; לא הסכימו כאמור - יבחרו הועדה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ובעל המקרקעין שמאי מקרקעין אחר (להלן - שמאי מכריע)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ושומתו תהא מכרעת; השמאי המכריע יפסוק גם בדבר השתתפות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בתוצאות שומתו.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חיוב בהיטל ועל הכרעת שמאי מכריע כאמור בסעיף קטן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לערער בנקודה משפטית בלבד, או בעילה שלא ניתנה לועדה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או לבעל המקרקעין או לשמאים מטעמם הזדמנות נאותה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לטעת טענותיהם או להביא ראיות בפני השמאי המכריע; הערעור יוגש</w:t>
                        </w:r>
                      </w:p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חשלום שבאזור שיפוטו נמצאים המקרקעין, תוך 45 ימים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הודעה ההחלטה שעליה מערערים.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"שומה אחרת</w:t>
                        </w:r>
                      </w:p>
                      <w:p w:rsidR="00D74F75" w:rsidRPr="000105F8" w:rsidRDefault="00D74F7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וערעור</w:t>
                        </w:r>
                      </w:p>
                    </w:tc>
                    <w:tc>
                      <w:tcPr>
                        <w:tcW w:w="774" w:type="pct"/>
                        <w:vMerge/>
                      </w:tcPr>
                      <w:p w:rsidR="00D74F75" w:rsidRDefault="00D74F7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74F75" w:rsidRDefault="00D74F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97B20" w:rsidRDefault="00C97B20">
      <w:pPr>
        <w:rPr>
          <w:rtl/>
        </w:rPr>
      </w:pPr>
      <w:r>
        <w:rPr>
          <w:rtl/>
        </w:rPr>
        <w:br w:type="page"/>
      </w:r>
    </w:p>
    <w:p w:rsidR="00C97B20" w:rsidRDefault="00000000">
      <w:pPr>
        <w:rPr>
          <w:rtl/>
        </w:rPr>
      </w:pPr>
      <w:r>
        <w:pict>
          <v:shape id="_x0000_s2779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793" inset="0,0,0,0">
              <w:txbxContent>
                <w:p w:rsidR="00D74F75" w:rsidRDefault="00D74F75">
                  <w:r>
                    <w:rPr>
                      <w:rtl/>
                    </w:rPr>
                    <w:t>27                                          ספר החוקים 1071                   י"ט בטבת התשמ"ג 04.01.1983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94" o:spid="_x0000_s1033" type="#_x0000_t202" style="position:absolute;left:0;text-align:left;margin-left:374.65pt;margin-top:685.9pt;width:171.45pt;height:42.15pt;z-index:9;mso-wrap-style:none;mso-position-horizontal-relative:page;mso-position-vertical-relative:page" stroked="f">
            <v:textbox style="mso-next-textbox:#_x0000_s27794" inset="0,0,0,0">
              <w:txbxContent>
                <w:p w:rsidR="00D74F75" w:rsidRPr="00C97B20" w:rsidRDefault="00D74F75">
                  <w:pPr>
                    <w:pStyle w:val="OCRStyle3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ס''ח התשכ"ה, עמ' 279; התשמ''ב,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95" o:spid="_x0000_s1034" type="#_x0000_t202" style="position:absolute;left:0;text-align:left;margin-left:87.55pt;margin-top:77.05pt;width:457pt;height:608.85pt;z-index:8;mso-wrap-style:none;mso-position-horizontal-relative:page;mso-position-vertical-relative:page" stroked="f">
            <v:textbox style="mso-next-textbox:#_x0000_s27795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5965"/>
                    <w:gridCol w:w="1130"/>
                  </w:tblGrid>
                  <w:tr w:rsidR="00D74F75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0" w:type="pct"/>
                      </w:tcPr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הגשת ערעור לא תעכב את מימוש הזכויות במקרקעין, אם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 שילם את ההיטל; אולם מי שמבקש היתר בניה לצרכי מגוריו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מגורי קרובו והגיש ערעור כאמור, לא תעכב הגשת הערעור את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ההיתר, אם נתן ערובה לתשלום סכום ההיטל השנוי במחלוקת;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על סי סעיף 8(ב) יחולו גם על מתן ערובה כאמור.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המקומית, על פי חוות דעת שמאי מקרקעין, רשאית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את השומה אם היא סבורה, מטעמים שיירשמו, שהשומה הקודמת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בטעות יסודה; החליטה ועדה מקומית על תיקון שומה, יחולו הוראות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(א) עד (ד) בשינויים המחוייבים; תיקון שומה לא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לגבי מקרקעין שבעדם שולם היטל.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רשאי לקבוע בתקנות את סדרי הדין בערעור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לרבות האגרות שישולמו, והוראות בדבר תשלום ההוצ-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של בעלי הדין בערעור."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74F75" w:rsidRPr="00C97B20">
                    <w:trPr>
                      <w:jc w:val="right"/>
                    </w:trPr>
                    <w:tc>
                      <w:tcPr>
                        <w:tcW w:w="730" w:type="pct"/>
                        <w:vMerge w:val="restart"/>
                      </w:tcPr>
                      <w:p w:rsidR="00D74F75" w:rsidRDefault="00D74F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 נא</w:t>
                        </w:r>
                      </w:p>
                      <w:p w:rsidR="00D74F75" w:rsidRPr="00C97B20" w:rsidRDefault="00D74F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השלישית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D74F75" w:rsidRPr="00C97B20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14 לתוספת השלישית יבוא:</w:t>
                        </w:r>
                      </w:p>
                    </w:tc>
                  </w:tr>
                  <w:tr w:rsidR="00D74F75" w:rsidRPr="00C97B20">
                    <w:trPr>
                      <w:jc w:val="right"/>
                    </w:trPr>
                    <w:tc>
                      <w:tcPr>
                        <w:tcW w:w="730" w:type="pct"/>
                        <w:vMerge/>
                      </w:tcPr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0" w:type="pct"/>
                      </w:tcPr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המנהל כהגדרתו בחוק מס רכוש וקרן פיצויים, התשכ"א-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1961, או מי שהוא מינה לפי סעיף 47 לחוק האמור, ימסור לשמאי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לפי בקשתו פרטים שברשותו בדבר המחירים שהוסכמו במספר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עסקות של מכירת זכויות במקרקעין, כפי שיהיה דרוש לשמאי לצורך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תפקידו לפי תוספת זו, ובלבד שלא יימסרו פרטי זיהוי של בעלי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הנכס.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יגלה שמאי מקרקעין כל ידיעה שהגיעה אליו מכוח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אלא לצורך ביצוע תוספת זו; העובר על הוראה זו, דינו -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6 חדשים.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האופן, התנאים והאגרה למימוקה של זכות לקבלת פרטים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זה ייקבעו בתקנות שיתקין שר המשפטים בהתייעצות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D74F75" w:rsidRPr="00C97B20" w:rsidRDefault="00D74F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מידע</w:t>
                        </w:r>
                      </w:p>
                    </w:tc>
                  </w:tr>
                  <w:tr w:rsidR="00D74F75" w:rsidRPr="00C97B20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4F75" w:rsidRDefault="00D74F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סעיף 19</w:t>
                        </w:r>
                      </w:p>
                      <w:p w:rsidR="00D74F75" w:rsidRPr="00C97B20" w:rsidRDefault="00D74F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השלישית</w:t>
                        </w:r>
                      </w:p>
                    </w:tc>
                    <w:tc>
                      <w:tcPr>
                        <w:tcW w:w="4270" w:type="pct"/>
                        <w:gridSpan w:val="2"/>
                      </w:tcPr>
                      <w:p w:rsidR="00D74F75" w:rsidRDefault="00D74F7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19 לתוספת, במקום סעיף קטן (ב) יבוא: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תחול חובת תשלום היטל בשל השבחה שהיא אחת מאלה: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השבחה במקרקעין למגורים המצויים בישוב או בחלק ממנו שהממשלה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הכריזה עליו כעל שכונת שיקום, כל עוד ההכרזה בתוקף ;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השבחה במקרקעין למגורים המצויים בישוב או בחלק ממנו ששר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הבינוי והשיכון ושר הפנים הכריזו בצו, בהסכמת הרשות המקומית הנוגעת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כי לא תחול לגביהם חובת תשלום היטל השבחה;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השבחה במקרקעין למגורים הנכללים באזור שיקום כמשמעותו בחוק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בינוי ופינוי של אזורי שיקום, התשכ"ה-81965 ;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השבחה במקרקעין של מוסד לחינוך, לתרבות, למדע, לדת, לצדקה,</w:t>
                        </w:r>
                      </w:p>
                      <w:p w:rsidR="00D74F75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לסעד, לבריאות או לספורט, שאין עיסוקו לשם קבלת רווחים, אם אותם</w:t>
                        </w:r>
                      </w:p>
                      <w:p w:rsidR="00D74F75" w:rsidRPr="00C97B20" w:rsidRDefault="00D74F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משמשים או מיועדים לשמש למטרות האמורות;</w:t>
                        </w:r>
                      </w:p>
                    </w:tc>
                  </w:tr>
                </w:tbl>
                <w:p w:rsidR="00D74F75" w:rsidRDefault="00D74F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6632C" w:rsidRDefault="00C6632C">
      <w:pPr>
        <w:rPr>
          <w:rtl/>
        </w:rPr>
      </w:pPr>
      <w:r>
        <w:rPr>
          <w:rtl/>
        </w:rPr>
        <w:br w:type="page"/>
      </w:r>
    </w:p>
    <w:p w:rsidR="00C6632C" w:rsidRDefault="00000000">
      <w:pPr>
        <w:rPr>
          <w:rtl/>
        </w:rPr>
      </w:pPr>
      <w:r>
        <w:pict>
          <v:shape id="_x0000_s27796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7796" inset="0,0,0,0">
              <w:txbxContent>
                <w:p w:rsidR="00D74F75" w:rsidRDefault="00D74F75">
                  <w:r>
                    <w:rPr>
                      <w:rtl/>
                    </w:rPr>
                    <w:t>28                                          ספר החוקים 1071                   י"ט בטבת התשמ"ג 04.01.1983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97" o:spid="_x0000_s1036" type="#_x0000_t202" style="position:absolute;left:0;text-align:left;margin-left:92.15pt;margin-top:710.45pt;width:166.7pt;height:21.6pt;z-index:13;mso-wrap-style:none;mso-position-horizontal-relative:page;mso-position-vertical-relative:page" stroked="f">
            <v:textbox style="mso-next-textbox:#_x0000_s27797" inset="0,0,0,0">
              <w:txbxContent>
                <w:p w:rsidR="00D74F75" w:rsidRDefault="00D74F7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798" o:spid="_x0000_s1037" type="#_x0000_t202" style="position:absolute;left:0;text-align:left;margin-left:236.65pt;margin-top:675.8pt;width:240.75pt;height:26.55pt;z-index:12;mso-wrap-style:none;mso-position-horizontal-relative:page;mso-position-vertical-relative:page" stroked="f">
            <v:textbox style="mso-next-textbox:#_x0000_s27798" inset="0,0,0,0">
              <w:txbxContent>
                <w:p w:rsidR="00D74F75" w:rsidRDefault="00D74F75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6, עמ' 120; ס"ח התשמ"ב, עמ' 158.</w:t>
                  </w:r>
                </w:p>
                <w:p w:rsidR="00D74F75" w:rsidRPr="00C6632C" w:rsidRDefault="00D74F75">
                  <w:pPr>
                    <w:pStyle w:val="OCRStyle4"/>
                    <w:ind w:left="162"/>
                  </w:pPr>
                  <w:r>
                    <w:rPr>
                      <w:rtl/>
                    </w:rPr>
                    <w:t>5 ס''ח התשמ"א. עמ' .184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99" o:spid="_x0000_s1038" type="#_x0000_t202" style="position:absolute;left:0;text-align:left;margin-left:95.5pt;margin-top:71.9pt;width:448.85pt;height:603.1pt;z-index:11;mso-wrap-style:none;mso-position-horizontal-relative:page;mso-position-vertical-relative:page" stroked="f">
            <v:textbox style="mso-next-textbox:#_x0000_s27799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012"/>
                  </w:tblGrid>
                  <w:tr w:rsidR="00D74F75">
                    <w:trPr>
                      <w:jc w:val="right"/>
                    </w:trPr>
                    <w:tc>
                      <w:tcPr>
                        <w:tcW w:w="4380" w:type="pct"/>
                      </w:tcPr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השבחה במקרקעין המשמשים לבעליהם לבניה של דירת מגורים או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להרחבתה והוא זכאי לסיוע באחת מתכניות הסיוע של משרד הבינוי והשיכון,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שהסיוע מיועד לבניה של אותה דירת מגורים, או להרחבתה, והשטח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של אותה דירה תואם את הוראות תכנית הסיוע לה הוא זכאי; עם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בניה או הרחבה נוספת מעל השטח האמור ישולם היטל בשיעור יחסי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לגודל הבניה או ההרחבה הנוספת; פטור לפי פסקה זו יחול רק לענין קבלת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לבניית הדירה האמורה או להרחבתה ;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השבחה במקרקעין שבעליהם החזיקו בהם ערב ההשבחה עשר שנים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והם משמשים לבניה או להרחבה של דירת מגורים עבור בעליהם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קרובו וההשבחה נובעת מתכנית שאושרה, והתכנית שקדמה לה קיבלה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לפני י"ב בטבת התש"י (1 בינואר 1950); פטור לפי פסקה זו יחול רק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השטח המשמש לבניה או להרחבת הדירה האמורה; לענין משך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ההחזקה, דין מי שהועברו לו זכויות במקרקעין מכוח הדין, כדין המעביר.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בניה או הרחבה של דירת מגורים לא ייראו כמימוש זכויות, אם המחזיק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או קרובו הגיש בקשה להיתר בניה על אותם מקרקעין ששימשו למגוריו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למגורי קרובו, ובלבד שהשטח הכולל של דירת המגורים האמורה לאחר בנייתה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הרחבתה אינה עולה על 120 מ"ר; עם כל בניה או הרחבה נוספת מעל השטח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ישולם היטל, בשיעור יחסי לגודל הבניה או ההרחבה הנוספת.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הפנים, באישור ועדת הפנים ואיכות הסביבה של הכנסת, רשאי לקבוע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-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בדבר פטור, מלא או חלקי, מחובת תשלום היטל לסוגים של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לבניה בשטח התיישבות חדשה, או בשטח פיתוח כפי שהוגדרו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סעיף 11 לפקודת מס הכנסה 4;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סוגים של מבנים לצרכים חקלאיים שבנייתם לא תחשב כמימוש זכויות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תשלום היטל;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בדבר מתן פטור, מלא או חלקי, מחובת תשלום היטל על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השבחה במקרקעין הכלולים בתכנית שבתחומה הותרה בפועל בעבר בניה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תכנית אחרת שלא הגיעה לכדי אישור כדין או על-פי אישור מאת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תכנון."</w:t>
                        </w:r>
                      </w:p>
                    </w:tc>
                    <w:tc>
                      <w:tcPr>
                        <w:tcW w:w="620" w:type="pct"/>
                      </w:tcPr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74F75" w:rsidRPr="00C6632C">
                    <w:trPr>
                      <w:jc w:val="right"/>
                    </w:trPr>
                    <w:tc>
                      <w:tcPr>
                        <w:tcW w:w="4380" w:type="pct"/>
                      </w:tcPr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8 לחוק התכנון והבניה (תיקון מס' 18), התשמ"א-81981 (להלן - החוק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המתקן) -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(א) עד (ד) יבוא :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חוק זה יחול על בעל כמשמעותו בחוק מס רכוש וקרן פיצויים,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התשכ"א-1961, של מקרקעין הנמצאים בתחום תכנית אשר אושרה קודם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תחילתו, אך לא יותר משש שנים קודם תחילתו, או הגובלים עמה, אם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אושרה בעת שהמקרקעין היו בבעלות או בחכירה לדורות בידי אותו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ובלבד שטרם בוצעה בהם כל הבניה וטרם נעשה בהם מלוא השימוש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שהותרו לראשונה בתכנית כאמור; ואולם לענין האמור בסעיף זה,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יובאו בחשבון, לענין ההשבחה, רק אותן זכויות לפי התכנית, אשר טרם</w:t>
                        </w:r>
                      </w:p>
                    </w:tc>
                    <w:tc>
                      <w:tcPr>
                        <w:tcW w:w="620" w:type="pct"/>
                      </w:tcPr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הוראות</w:t>
                        </w:r>
                      </w:p>
                      <w:p w:rsidR="00D74F75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בתיקון</w:t>
                        </w:r>
                      </w:p>
                      <w:p w:rsidR="00D74F75" w:rsidRPr="00C6632C" w:rsidRDefault="00D74F7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18</w:t>
                        </w:r>
                      </w:p>
                    </w:tc>
                  </w:tr>
                </w:tbl>
                <w:p w:rsidR="00D74F75" w:rsidRDefault="00D74F7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A5726" w:rsidRDefault="00CA5726">
      <w:pPr>
        <w:rPr>
          <w:rtl/>
        </w:rPr>
      </w:pPr>
      <w:r>
        <w:rPr>
          <w:rtl/>
        </w:rPr>
        <w:br w:type="page"/>
      </w:r>
    </w:p>
    <w:p w:rsidR="00CA5726" w:rsidRDefault="00000000">
      <w:pPr>
        <w:rPr>
          <w:rtl/>
        </w:rPr>
      </w:pPr>
      <w:r>
        <w:pict>
          <v:shape id="_x0000_s27800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7800" inset="0,0,0,0">
              <w:txbxContent>
                <w:p w:rsidR="00D74F75" w:rsidRDefault="00D74F75">
                  <w:r>
                    <w:rPr>
                      <w:rtl/>
                    </w:rPr>
                    <w:t>29                                          ספר החוקים 1071                   י"ט בטבת התשמ"ג 04.01.1983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01" o:spid="_x0000_s1040" type="#_x0000_t202" style="position:absolute;left:0;text-align:left;margin-left:358.55pt;margin-top:682.5pt;width:195.6pt;height:46.95pt;z-index:19;mso-wrap-style:none;mso-position-horizontal-relative:page;mso-position-vertical-relative:page" stroked="f">
            <v:textbox style="mso-next-textbox:#_x0000_s27801" inset="0,0,0,0">
              <w:txbxContent>
                <w:p w:rsidR="00D74F75" w:rsidRPr="00CA5726" w:rsidRDefault="00D74F75">
                  <w:pPr>
                    <w:pStyle w:val="OCRStyle5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ע''ר 1936, תוס' 1, עמ' 153; ס''ח התשכ''ה, עמ' 349.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02" o:spid="_x0000_s1041" type="#_x0000_t202" style="position:absolute;left:0;text-align:left;margin-left:192.85pt;margin-top:627.85pt;width:65.95pt;height:35.65pt;z-index:18;mso-wrap-style:none;mso-position-horizontal-relative:page;mso-position-vertical-relative:page" stroked="f">
            <v:textbox style="mso-next-textbox:#_x0000_s27802" inset="0,0,0,0">
              <w:txbxContent>
                <w:p w:rsidR="00D74F75" w:rsidRDefault="00D74F75">
                  <w:pPr>
                    <w:pStyle w:val="OCRStyle5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D74F75" w:rsidRDefault="00D74F75">
                  <w:pPr>
                    <w:pStyle w:val="OCRStyle5"/>
                    <w:ind w:left="19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03" o:spid="_x0000_s1042" type="#_x0000_t202" style="position:absolute;left:0;text-align:left;margin-left:318.95pt;margin-top:627.1pt;width:69.3pt;height:41.4pt;z-index:17;mso-wrap-style:none;mso-position-horizontal-relative:page;mso-position-vertical-relative:page" stroked="f">
            <v:textbox style="mso-next-textbox:#_x0000_s27803" inset="0,0,0,0">
              <w:txbxContent>
                <w:p w:rsidR="00D74F75" w:rsidRDefault="00D74F75">
                  <w:pPr>
                    <w:pStyle w:val="OCRStyle5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74F75" w:rsidRDefault="00D74F75">
                  <w:pPr>
                    <w:pStyle w:val="OCRStyle5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04" o:spid="_x0000_s1043" type="#_x0000_t202" style="position:absolute;left:0;text-align:left;margin-left:446.85pt;margin-top:648.65pt;width:70.9pt;height:33.85pt;z-index:16;mso-wrap-style:none;mso-position-horizontal-relative:page;mso-position-vertical-relative:page" stroked="f">
            <v:textbox style="mso-next-textbox:#_x0000_s27804" inset="0,0,0,0">
              <w:txbxContent>
                <w:p w:rsidR="00D74F75" w:rsidRDefault="00D74F75">
                  <w:pPr>
                    <w:pStyle w:val="OCRStyle5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74F75" w:rsidRDefault="00D74F75">
                  <w:pPr>
                    <w:pStyle w:val="OCRStyle5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05" o:spid="_x0000_s1044" type="#_x0000_t202" style="position:absolute;left:0;text-align:left;margin-left:104.55pt;margin-top:68.7pt;width:450.45pt;height:553.4pt;z-index:15;mso-wrap-style:none;mso-position-horizontal-relative:page;mso-position-vertical-relative:page" stroked="f">
            <v:textbox style="mso-next-textbox:#_x0000_s27805" inset="0,0,0,0">
              <w:txbxContent>
                <w:tbl>
                  <w:tblPr>
                    <w:tblW w:w="48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7143"/>
                  </w:tblGrid>
                  <w:tr w:rsidR="00D74F75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0" w:type="pct"/>
                      </w:tcPr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נוצלו ערב תחילתו של חוק זה; לענין הבעלות או החכירה לדורות בעת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התכנית, דין מי שהועברו לו זכויות במקרקעין מכוח הדין או ללא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תמורה, כדין המעביר.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חיוב בהיטל לפי סעיף קטן (א), ניתן לערער בפגי בית משפט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 שבאזור שיפוטו נמצאים המקרקעין, תוך 45 ימים מהיום שבו הודעה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שעליה מערערים, בנימוק שהחיוב אינו סביר בנסיבות הענין ואין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מן הצדק להטילו; בית המשפט רשאי לאשר את החיוב, לבטלו או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להפחיתו, הכל כפי שייראה לו צודק; על ערעור לפי סעיף קטן זה יחולו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14 (ד) של התוספת השלישית לחוק העיקרי.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השבחה שסכומו נקבע על פי פקודת בנין ערים, 61936 (להלן -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לפני תחילתו של חוק זה, בין בהסכם, בין בפסק בוררות ובין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דין סופי של בית משפט, ייחשב כהיטל השבחה על פי החוק העיקרי ;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בהוראות סעיף קטן זה כדי לגרוע מתקפם של הסדרים לתשלום שנעשו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קביעת המס כאמור.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שחייב בהיטל השבחה לפי הוראות סעיף זה לא יהיה זכאי לטעון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שחלף המועד שנקבע בפקודה לדרישת תשלום מס השבחה."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"לתקופה של שנה מיום תחילתו של חוק זה"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"עד יום כ"ו בטבת התשמ"ד (1 בינואר 1984)."</w:t>
                        </w:r>
                      </w:p>
                    </w:tc>
                  </w:tr>
                  <w:tr w:rsidR="00D74F75" w:rsidRPr="00CA572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74F75" w:rsidRPr="00CA5726" w:rsidRDefault="00D74F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תשלומים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D74F75" w:rsidRDefault="00D74F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תשלומים שגבתה ועדה מקומית על פי החוק המתקן בשל מקרקעין שאינם בתחום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או גובלים עמה או שאין חייבים בשלהם בתשלום היטל השבחה מכוח הוראות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19(ב)(1) ו-(5) לתוספת, יוחזרו על ידי הועדה המקומית למשלמים כשהם צמודים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המחירים לצרכן בצירוף ריבית בשיעור של 4% לשנה ממועד תשלומם ועד ליום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החזרתם בפועל למשלם, ובלבד שהדרישה להחזרתם הוגשה לועדה המקומית תוך 90 ימים</w:t>
                        </w:r>
                      </w:p>
                      <w:p w:rsidR="00D74F75" w:rsidRPr="00CA5726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מיום תחילתו של חוק זה. </w:t>
                        </w:r>
                      </w:p>
                    </w:tc>
                  </w:tr>
                  <w:tr w:rsidR="00D74F75" w:rsidRPr="00CA572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74F75" w:rsidRPr="00CA5726" w:rsidRDefault="00D74F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D74F75" w:rsidRDefault="00D74F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על אף האמור בסעיף 14, מס השבחה או היטל השבחה שהחלו לשלמם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בהתאם להוראות סעיף 8 של החוק המתקן כנוסחו לפני תחילתו של חוק זה,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ימשיכו בגבייתם לפי הוראות סעיף 8 האמור כאילו חוק זה לא נתקבל; ואולם אם היה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תלוי ועומד לפי סעיף 14 לתוספת כנוסחו לפני תחילתו של חוק זה, יחולו על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 הוראות חוק זה אם ביקש זאת מהועדה המקומית תור 60 ימים מיום תחילתו של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והודיע לבית המשפט על ביטול ערעורו, או אם טרם מימש זכותו במקרקעין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שבגינם הוא מערער.</w:t>
                        </w:r>
                      </w:p>
                      <w:p w:rsidR="00D74F75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לפגוע בזכותו של מי שזכאי להחזר לפי סעיף 15</w:t>
                        </w:r>
                      </w:p>
                      <w:p w:rsidR="00D74F75" w:rsidRPr="00CA5726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ובזכותו של מי שזכאי לפטור לפי סעיף 19 לתוספת.</w:t>
                        </w:r>
                      </w:p>
                    </w:tc>
                  </w:tr>
                  <w:tr w:rsidR="00D74F75" w:rsidRPr="00CA5726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D74F75" w:rsidRPr="00CA5726" w:rsidRDefault="00D74F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D74F75" w:rsidRDefault="00D74F7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תחילתו של סעיף 3 ביום יי בתמוז התשמ"ב (1 ביולי 1982).</w:t>
                        </w:r>
                      </w:p>
                      <w:p w:rsidR="00D74F75" w:rsidRPr="00CA5726" w:rsidRDefault="00D74F7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14 ביום כ"ט בסיון התשמ"א (1 ביולי 1981),</w:t>
                        </w:r>
                      </w:p>
                    </w:tc>
                  </w:tr>
                </w:tbl>
                <w:p w:rsidR="00D74F75" w:rsidRDefault="00D74F7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74F75" w:rsidRDefault="00D74F75">
      <w:pPr>
        <w:rPr>
          <w:rtl/>
        </w:rPr>
      </w:pPr>
      <w:r>
        <w:rPr>
          <w:rtl/>
        </w:rPr>
        <w:br w:type="page"/>
      </w:r>
    </w:p>
    <w:p w:rsidR="00D74F75" w:rsidRDefault="00000000">
      <w:pPr>
        <w:rPr>
          <w:rtl/>
        </w:rPr>
      </w:pPr>
      <w:r>
        <w:pict>
          <v:shape id="_x0000_s27806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7806" inset="0,0,0,0">
              <w:txbxContent>
                <w:p w:rsidR="00D74F75" w:rsidRDefault="00D74F75">
                  <w:r>
                    <w:rPr>
                      <w:rtl/>
                    </w:rPr>
                    <w:t>30                                          ספר החוקים 1071                   י"ט בטבת התשמ"ג 04.01.1983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07" o:spid="_x0000_s1046" type="#_x0000_t202" style="position:absolute;left:0;text-align:left;margin-left:88.7pt;margin-top:705.9pt;width:131.85pt;height:23.15pt;z-index:21;mso-wrap-style:none;mso-position-horizontal-relative:page;mso-position-vertical-relative:page" stroked="f">
            <v:textbox style="mso-next-textbox:#_x0000_s27807" inset="0,0,0,0">
              <w:txbxContent>
                <w:p w:rsidR="00D74F75" w:rsidRDefault="00D74F7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5C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D5555E-7BD7-4091-B076-6CDEA850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5C7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105F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97B2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6632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A572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74F7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2008-04-07T01:21:00Z</dcterms:created>
  <dcterms:modified xsi:type="dcterms:W3CDTF">2008-04-07T01:22:00Z</dcterms:modified>
</cp:coreProperties>
</file>