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6397" w:rsidRDefault="00D36397">
      <w:pPr>
        <w:rPr>
          <w:rtl/>
        </w:rPr>
      </w:pPr>
    </w:p>
    <w:p w:rsidR="00D363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86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860" inset="0,0,0,0">
              <w:txbxContent>
                <w:p w:rsidR="00057C5D" w:rsidRDefault="00057C5D">
                  <w:r>
                    <w:rPr>
                      <w:rtl/>
                    </w:rPr>
                    <w:t>14                                           ספר החוקים 988                  ג' בכסליו התשמ"א 11.11.1980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61" o:spid="_x0000_s1026" type="#_x0000_t202" style="position:absolute;left:0;text-align:left;margin-left:86.15pt;margin-top:660.6pt;width:386.5pt;height:73.25pt;z-index:3;mso-position-horizontal-relative:page;mso-position-vertical-relative:page" stroked="f">
            <v:textbox style="mso-next-textbox:#_x0000_s27861" inset="0,0,0,0">
              <w:txbxContent>
                <w:p w:rsidR="00057C5D" w:rsidRDefault="00057C5D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בחשון התשמ"א (3 בנובמבר 1980); הצעת החוק ודברי הסבר פורסמו בה"ח 1385,</w:t>
                  </w:r>
                </w:p>
                <w:p w:rsidR="00057C5D" w:rsidRDefault="00057C5D">
                  <w:pPr>
                    <w:pStyle w:val="OCRStyle1"/>
                    <w:ind w:left="6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התשל"ט, עמ' 96.</w:t>
                  </w:r>
                </w:p>
                <w:p w:rsidR="00057C5D" w:rsidRPr="00D36397" w:rsidRDefault="00057C5D">
                  <w:pPr>
                    <w:pStyle w:val="OCRStyle1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התשכ"ה, עמ' 307; התש"ם,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62" o:spid="_x0000_s1027" type="#_x0000_t202" style="position:absolute;left:0;text-align:left;margin-left:80pt;margin-top:101.05pt;width:468.45pt;height:556.95pt;z-index:2;mso-position-horizontal-relative:page;mso-position-vertical-relative:page" stroked="f">
            <v:textbox style="mso-next-textbox:#_x0000_s2786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4"/>
                    <w:gridCol w:w="1077"/>
                    <w:gridCol w:w="1536"/>
                  </w:tblGrid>
                  <w:tr w:rsidR="00057C5D" w:rsidRPr="00D36397">
                    <w:trPr>
                      <w:jc w:val="right"/>
                    </w:trPr>
                    <w:tc>
                      <w:tcPr>
                        <w:tcW w:w="4098" w:type="pct"/>
                        <w:gridSpan w:val="2"/>
                      </w:tcPr>
                      <w:p w:rsidR="00057C5D" w:rsidRPr="00D36397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238 לחוק התכנון והבניה/ התשכ"ה-11965 יבוא:</w:t>
                        </w:r>
                      </w:p>
                    </w:tc>
                    <w:tc>
                      <w:tcPr>
                        <w:tcW w:w="902" w:type="pct"/>
                      </w:tcPr>
                      <w:p w:rsidR="00057C5D" w:rsidRPr="00D36397" w:rsidRDefault="00057C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238א</w:t>
                        </w:r>
                      </w:p>
                    </w:tc>
                  </w:tr>
                  <w:tr w:rsidR="00057C5D">
                    <w:trPr>
                      <w:jc w:val="right"/>
                    </w:trPr>
                    <w:tc>
                      <w:tcPr>
                        <w:tcW w:w="3466" w:type="pct"/>
                      </w:tcPr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238א. (א) הוקם בנין חורג, לרבות ללא היתר או בסטיה מהיתר או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מתכנית' או הוחל בהקמתו של בנין כאמור/ רשאי יושב ראש הועדה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לצוות בכתב שהבנין, או אותו חלק ממנו שהוקם או הוחל בהקמתו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היתר או בסטיה מהיתר או מתכנית' ייהרס, יפורק או יסולק' ובלבד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 לו תצהיר חתום ביד מהנדס הועדה המקומית או מהנדס אחר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שהסמיך לכך, המציין כי -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לפי ידיעתו האישית הוקם הבנין ללא היתר או שהבנין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חורג ובמה הוא חורג;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לפי ידיעתו האישית לא נסתיימה הקמת הבנין או שנס-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תיימה לא יותר משלושים ימים לפני יום הגשת התצהיר?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ביום הגשת התצהיר, אין הבנין שלגביו מבוקש הצו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מאוכלס או שהוא מאוכלס תקופה שאינה עולה על שבועיים;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 כאמור ייקרא "צו הריסה מינהלי".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הועדה המקומית מועצת רשות מקומית כאמור בסעיף 18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ונתמנה לאותה רשות מקומית יועץ משפטי, לא יינתן צו הריסה מינהלי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התייעצות עמו; היתה הועדה המקומית ועדה למרחב תכנון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 כאמור בסעיף 19, לא יינתן צו הריסה מינהלי אלא לאחר התייע-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צות עם ראש הרשות המקומית שבתחומה מצוי הבנין החורג.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הריסה מינהלי יחול גם על כל תוספת בניה ללא היתר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שנתווספה לבנין אחרי מתן הצו, ולא יהא צורך במתן צו נוסף לגבי תוספת 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כאמור.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בצו הריסה מינהלי יפורטו -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המקרקעין שעליהם הוא חל;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העובדה שהבניה, או החלק ממנה שיפורט, בוצעו ללא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היתר, או מה הן ההפרות של תנאי ההיתר או העובדות האח-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שבגללן הבנין הוא חורג?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3) הבנין או החלק ממנו שהצו מסמיך להרסו, לפרקו או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לסלקו;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תוכן סעיפים קטנים (ג), (ו), (ז) ו-(ח).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צו הריסה מינהלי יודבק על קיר חיצון של הבנין, ובהעדר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קיר חיצון - על מקום אחר הנראה לעין במקרקעין? בשעת ההדבקה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יירשמו בגוף הצו המודבק היום והשעה של ההדבקה.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צו הריסה מינהלי יהיה ניתן לביצוע -</w:t>
                        </w:r>
                      </w:p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הוקם בנין ללא היתר - בתום 24 שעות משעת</w:t>
                        </w:r>
                      </w:p>
                      <w:p w:rsidR="00057C5D" w:rsidRPr="00D36397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הדבקתו?</w:t>
                        </w:r>
                      </w:p>
                    </w:tc>
                    <w:tc>
                      <w:tcPr>
                        <w:tcW w:w="632" w:type="pct"/>
                      </w:tcPr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הריסה</w:t>
                        </w:r>
                      </w:p>
                      <w:p w:rsidR="00057C5D" w:rsidRPr="00D36397" w:rsidRDefault="00057C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מינהלי</w:t>
                        </w:r>
                      </w:p>
                    </w:tc>
                    <w:tc>
                      <w:tcPr>
                        <w:tcW w:w="902" w:type="pct"/>
                      </w:tcPr>
                      <w:p w:rsidR="00057C5D" w:rsidRDefault="00057C5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57C5D" w:rsidRDefault="00057C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863" o:spid="_x0000_s1028" type="#_x0000_t202" style="position:absolute;left:0;text-align:left;margin-left:125.75pt;margin-top:64pt;width:296.2pt;height:31.1pt;z-index:1;mso-position-horizontal-relative:page;mso-position-vertical-relative:page" stroked="f">
            <v:textbox style="mso-next-textbox:#_x0000_s27863" inset="0,0,0,0">
              <w:txbxContent>
                <w:p w:rsidR="00057C5D" w:rsidRPr="00D36397" w:rsidRDefault="00057C5D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התכנון והבניה (תיקון מס' 12), התשמ"א-1980 *</w:t>
                  </w:r>
                </w:p>
              </w:txbxContent>
            </v:textbox>
            <w10:wrap anchorx="page" anchory="page"/>
          </v:shape>
        </w:pict>
      </w:r>
    </w:p>
    <w:p w:rsidR="00057C5D" w:rsidRDefault="00057C5D">
      <w:pPr>
        <w:rPr>
          <w:rtl/>
        </w:rPr>
      </w:pPr>
      <w:r>
        <w:rPr>
          <w:rtl/>
        </w:rPr>
        <w:br w:type="page"/>
      </w:r>
    </w:p>
    <w:p w:rsidR="00057C5D" w:rsidRDefault="00000000">
      <w:pPr>
        <w:rPr>
          <w:rtl/>
        </w:rPr>
      </w:pPr>
      <w:r>
        <w:pict>
          <v:shape id="_x0000_s2786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864" inset="0,0,0,0">
              <w:txbxContent>
                <w:p w:rsidR="00057C5D" w:rsidRDefault="00057C5D">
                  <w:r>
                    <w:rPr>
                      <w:rtl/>
                    </w:rPr>
                    <w:t>15                                           ספר החוקים 988                  ג' בכסליו התשמ"א 11.11.1980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65" o:spid="_x0000_s1030" type="#_x0000_t202" style="position:absolute;left:0;text-align:left;margin-left:381.6pt;margin-top:698pt;width:172.05pt;height:33.65pt;z-index:9;mso-position-horizontal-relative:page;mso-position-vertical-relative:page" stroked="f">
            <v:textbox style="mso-next-textbox:#_x0000_s27865" inset="0,0,0,0">
              <w:txbxContent>
                <w:p w:rsidR="00057C5D" w:rsidRDefault="00057C5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866" o:spid="_x0000_s1031" type="#_x0000_t202" style="position:absolute;left:0;text-align:left;margin-left:168pt;margin-top:535.45pt;width:74.05pt;height:38.6pt;z-index:8;mso-position-horizontal-relative:page;mso-position-vertical-relative:page" stroked="f">
            <v:textbox style="mso-next-textbox:#_x0000_s27866" inset="0,0,0,0">
              <w:txbxContent>
                <w:p w:rsidR="00057C5D" w:rsidRDefault="00057C5D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057C5D" w:rsidRDefault="00057C5D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67" o:spid="_x0000_s1032" type="#_x0000_t202" style="position:absolute;left:0;text-align:left;margin-left:300.65pt;margin-top:532.9pt;width:113.65pt;height:56.65pt;z-index:7;mso-position-horizontal-relative:page;mso-position-vertical-relative:page" stroked="f">
            <v:textbox style="mso-next-textbox:#_x0000_s27867" inset="0,0,0,0">
              <w:txbxContent>
                <w:p w:rsidR="00057C5D" w:rsidRDefault="00057C5D">
                  <w:pPr>
                    <w:pStyle w:val="OCRStyle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057C5D" w:rsidRDefault="00057C5D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057C5D" w:rsidRDefault="00057C5D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68" o:spid="_x0000_s1033" type="#_x0000_t202" style="position:absolute;left:0;text-align:left;margin-left:450.35pt;margin-top:562.95pt;width:104.15pt;height:42.15pt;z-index:6;mso-position-horizontal-relative:page;mso-position-vertical-relative:page" stroked="f">
            <v:textbox style="mso-next-textbox:#_x0000_s27868" inset="0,0,0,0">
              <w:txbxContent>
                <w:p w:rsidR="00057C5D" w:rsidRDefault="00057C5D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57C5D" w:rsidRDefault="00057C5D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69" o:spid="_x0000_s1034" type="#_x0000_t202" style="position:absolute;left:0;text-align:left;margin-left:100.05pt;margin-top:54.9pt;width:452.85pt;height:465.9pt;z-index:5;mso-position-horizontal-relative:page;mso-position-vertical-relative:page" stroked="f">
            <v:textbox style="mso-next-textbox:#_x0000_s2786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6998"/>
                  </w:tblGrid>
                  <w:tr w:rsidR="00057C5D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0" w:type="pct"/>
                      </w:tcPr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מקרה אחר - בתום 72 שעות משעת הדבקתו.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הרואה עצמו נפגע על ידי צו הריסה מינהלי רשאי לבקש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מבית המשפט את ביטולו, אולם הגשת הבקשה לא תתלה את תקפו של הצו;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ערעור על החלטת בית המשפט בבקשה כאמור דינה כדין צו לפי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250.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לא יבטל ולא יתלה בית המשפט צו הריסה מינהלי אלא אם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 לו שהבניה שבגללה ניתן הצו בוצעה כדין או שביצוע הצו אינו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לשם מניעת עובדה מוגמרת.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צו הריסה מינהלי לא יבוצע אם חלפו שלושים ימים מיום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התצהיר כאמור בסעיף קטן (א) או מיום מתן ההחלטה של בית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הדוחה את הבקשה לביטול הצו, אם ניתנה החלטה כאמור, הכל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המאוחר.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יושב ראש הועדה המקומית יודיע על מתן צו הריסה מינהלי/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בעיריה - לועדת המשנה כאמור בסעיף 18 (ד), ובכל מקרה אחר -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המקומית; ההודעה תינתן בישיבה הראשונה של ועדות אלו לאחר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הצו.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בביצוע צו הריסה מינהלי רשאים הועדה המקומית, עובדיה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ושליחיה שהסמיכה לכך, לפעול, אף ללא צו של בית-משפט, על-פי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כאמור בסעיף 211.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ביצועו של צו הריסה מינהלי אינו פוטר מאחריות פלילית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 לפי חוק זה.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בוצעו הריסה, פירוק או סילוק של בנין על פי צו שניתן או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בוצע שלא בהתאם לסעיף זה, או שנתברר שהוצא לבנין היתר כדין או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שהבנין לא היה בנין חורג, לפי הענין, יהא הנפגע מביצועו זכאי למלוא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מאת הועדה המקומית; באין הסכמה על חוקיות הבניה או על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הפיצויים, רשאי הנפגע לתבוע פיצויים בבית המשפט המוסמך</w:t>
                        </w:r>
                      </w:p>
                      <w:p w:rsid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של המרצת פתיחה."</w:t>
                        </w:r>
                      </w:p>
                    </w:tc>
                  </w:tr>
                  <w:tr w:rsidR="00057C5D" w:rsidRPr="00057C5D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057C5D" w:rsidRPr="00057C5D" w:rsidRDefault="00057C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057C5D" w:rsidRPr="00057C5D" w:rsidRDefault="00057C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יפורסם ברשומות תוך שלושים ימים מיום קבלתו בכנסת.</w:t>
                        </w:r>
                      </w:p>
                    </w:tc>
                  </w:tr>
                </w:tbl>
                <w:p w:rsidR="00057C5D" w:rsidRDefault="00057C5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363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07B8BA-C489-4D1A-A535-583D00DE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3639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57C5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2008-04-07T00:27:00Z</dcterms:created>
  <dcterms:modified xsi:type="dcterms:W3CDTF">2008-04-07T00:27:00Z</dcterms:modified>
</cp:coreProperties>
</file>