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2C9" w:rsidRDefault="000972C9">
      <w:pPr>
        <w:rPr>
          <w:rtl/>
        </w:rPr>
      </w:pPr>
    </w:p>
    <w:p w:rsidR="000972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068" inset="0,0,0,0">
              <w:txbxContent>
                <w:p w:rsidR="00394A74" w:rsidRDefault="00394A74">
                  <w:r>
                    <w:rPr>
                      <w:rtl/>
                    </w:rPr>
                    <w:t>202                                          ספר החוקים 460                  י"ח בתמוז התשכ"ה 18.07.1965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69" o:spid="_x0000_s1026" type="#_x0000_t202" style="position:absolute;left:0;text-align:left;margin-left:75.65pt;margin-top:648.45pt;width:380.95pt;height:96.8pt;z-index:3;mso-position-horizontal-relative:page;mso-position-vertical-relative:page" stroked="f">
            <v:textbox style="mso-next-textbox:#_x0000_s28069" inset="0,0,0,0">
              <w:txbxContent>
                <w:p w:rsidR="00394A74" w:rsidRDefault="00394A7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תשכ"ה (8 ביולי 1965); הצעת החוק ודברי הסבר פורסמו בהית 623, תשכ"ד,</w:t>
                  </w:r>
                </w:p>
                <w:p w:rsidR="00394A74" w:rsidRDefault="00394A74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עמ' 290.</w:t>
                  </w:r>
                </w:p>
                <w:p w:rsidR="00394A74" w:rsidRDefault="00394A7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 7' תשכ"א, עמ' 173; ס"ח תשכ''ב, עמי 8&lt; 64; ס"ח תשכ"ד, עמי 78; ס"ח 452/</w:t>
                  </w:r>
                </w:p>
                <w:p w:rsidR="00394A74" w:rsidRDefault="00394A7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תשביה/ עמי .115</w:t>
                  </w:r>
                </w:p>
                <w:p w:rsidR="00394A74" w:rsidRPr="000972C9" w:rsidRDefault="00394A7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2 ס"ח 337/ תשכ''א,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0" o:spid="_x0000_s1027" type="#_x0000_t202" style="position:absolute;left:0;text-align:left;margin-left:74.9pt;margin-top:104.15pt;width:464.3pt;height:540.15pt;z-index:2;mso-position-horizontal-relative:page;mso-position-vertical-relative:page" stroked="f">
            <v:textbox style="mso-next-textbox:#_x0000_s280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325"/>
                  </w:tblGrid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Default="00394A7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20 לפקודת התעבורה 1 (להלן - הפקודה)' אחרי סעיף קטן (ב) יבוא: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שוטר שבידו רשיון נהיגה תקף מטעם משטרת ישראל, רואים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היה בעל רשיון נהיגה לפי פקודה זו שעה שהוא נוהג רכב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רכב של משטרת ישראל לשם ביצוע הוראות פקודה זו והתקנות,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חוקי עזר שהותקנו לפיה' או לשם מילוי תפקידיו כשוטר לפי</w:t>
                        </w:r>
                      </w:p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אחר' אם הנסיבות מחייבות זאת."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25 (א) לפקודה' אחרי פסקה (4) יבוא: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עבירות על חוק למניעת מפגעים, תשכ"א-1961 2,</w:t>
                        </w:r>
                      </w:p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לפיו' אם העבירות נוגעות לכלי רכב."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30 (1) לפקודה' במקום "עשרים לירות" יבוא "מאה לירות"' ובמקום "חמישים</w:t>
                        </w:r>
                      </w:p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"מאתיים לירות".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36 לפקודה' במקום סעיף קטן (ב) יבוא: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שנפסל על תנאי ייפסל אם עבר' תוך תקופה שנקבעה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דינו ושלא תפחת משנה ולא תעלה על שלוש שנים, אותה עבירה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הורשע' או אחת העבירות המפורטות בתוספת הראשונה או השניה'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אחרת שיקבע בית המשפט בגזר הדין, והורשע בשל העבירה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תוך התקופה האמורה או לאחריה.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התקופה האמורה תתחיל מיום מתן גזר הדין, ואם נושא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אותו זמן עונש מאסר - מיום שחרורו מן המאסר; והכל כשבית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הורה אחרת.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אוזכרה בקביעת העבירות לפי סעיף קטן (ב) הוראת חיקוק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בוטלה לאחר מכן והוראה אחרת באה במקומה' יראו את גזר הדין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כמאזכר את ההוראה האחרת.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שנפסל על תנאי והורשע בשל עבירה נוספת כאמור,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המשפט על הפעלת הפסילה על תנאי' ורשאי בית המשפט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בצו שהפעלת הפסילה על תנאי תהיה בכפוף לתוצאות הערעור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ההרשעה בשל העבירה הנוספת; הצו יינתן על ידי בית המשפט שהר-</w:t>
                        </w:r>
                      </w:p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 את הנאשם בשל העבירה הנוספת והוא יכול להינתן על ידי כל בית</w:t>
                        </w:r>
                      </w:p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המוסמך לדון באותה עבירה."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40 לפקודה' אחרי "סעיף 64" יבוא "או לפי סעיף 64א".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41 לפקודה' אחרי "בסעיפים 40-37" יבוא "למעט פסילה בשל הרשעה על</w:t>
                        </w:r>
                      </w:p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64א"' ובמקום "סעיף 36 (ב)" יבוא "סעיף 36 (ב) עד (ה)".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394A74" w:rsidRPr="000972C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42 לפקודה' במקום "בסעיף 44" יבוא "בסעיפים 44 ו-44א".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94A74" w:rsidRPr="000972C9" w:rsidRDefault="00394A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394A74" w:rsidRDefault="00394A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71" o:spid="_x0000_s1028" type="#_x0000_t202" style="position:absolute;left:0;text-align:left;margin-left:118.65pt;margin-top:75.45pt;width:296.6pt;height:24.55pt;z-index:1;mso-position-horizontal-relative:page;mso-position-vertical-relative:page" stroked="f">
            <v:textbox style="mso-next-textbox:#_x0000_s28071" inset="0,0,0,0">
              <w:txbxContent>
                <w:p w:rsidR="00394A74" w:rsidRPr="000972C9" w:rsidRDefault="00394A74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 (מס' 5), תשכ"ה-1965 *</w:t>
                  </w:r>
                </w:p>
              </w:txbxContent>
            </v:textbox>
            <w10:wrap anchorx="page" anchory="page"/>
          </v:shape>
        </w:pict>
      </w:r>
    </w:p>
    <w:p w:rsidR="000972B9" w:rsidRDefault="000972B9">
      <w:pPr>
        <w:rPr>
          <w:rtl/>
        </w:rPr>
      </w:pPr>
      <w:r>
        <w:rPr>
          <w:rtl/>
        </w:rPr>
        <w:br w:type="page"/>
      </w:r>
    </w:p>
    <w:p w:rsidR="000972B9" w:rsidRDefault="00000000">
      <w:pPr>
        <w:rPr>
          <w:rtl/>
        </w:rPr>
      </w:pPr>
      <w:r>
        <w:pict>
          <v:shape id="_x0000_s280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72" inset="0,0,0,0">
              <w:txbxContent>
                <w:p w:rsidR="00394A74" w:rsidRDefault="00394A74">
                  <w:r>
                    <w:rPr>
                      <w:rtl/>
                    </w:rPr>
                    <w:t>203                                          ספר החוקים 460                  י"ח בתמוז התשכ"ה 18.07.1965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3" o:spid="_x0000_s1030" type="#_x0000_t202" style="position:absolute;left:0;text-align:left;margin-left:391.6pt;margin-top:716.5pt;width:176pt;height:23.55pt;z-index:6;mso-position-horizontal-relative:page;mso-position-vertical-relative:page" stroked="f">
            <v:textbox style="mso-next-textbox:#_x0000_s28073" inset="0,0,0,0">
              <w:txbxContent>
                <w:p w:rsidR="00394A74" w:rsidRDefault="00394A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074" o:spid="_x0000_s1031" type="#_x0000_t202" style="position:absolute;left:0;text-align:left;margin-left:98.35pt;margin-top:59.35pt;width:465.9pt;height:648.65pt;z-index:5;mso-position-horizontal-relative:page;mso-position-vertical-relative:page" stroked="f">
            <v:textbox style="mso-next-textbox:#_x0000_s280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5617"/>
                    <w:gridCol w:w="1350"/>
                  </w:tblGrid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 א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44 לפקודה יבוא: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הורשע אדם על עבירה לסי תקנה שהותקנה על סי סקודה זו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האוסרת הסעת נוסעים בשכר ברכב סרטי או ברכב מסחרי' או השכרת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סרטי או רכב מסחרי לשם הסעה כאמור' או מתן הרשאה להסעה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ברכב סרטי או ברכב מסחרי (להלן - עבירת הסעה)' רשאי בית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- בנוסף לכל עונש אחר - לססול את בעל הרשיון לרכב שבו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 עבירת ההסעה מהחזיק ברשיון לסוג מסויים של רכב או לרכב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לצמיתות או לתקוסה מסויימת.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בעל רכב על עבירת הסעה ובשתי השנים שקדמו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 כבר הורשע בה' דינו - בנוסף לכל עונש אחר - ססילה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 לכל רכב או לסוג מסויים של רכב לתקוסה שלא תסחת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משנים עשר חדשים, אולם רשאי בית המשפט' כנסיבות מיוחדות שיפרש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הדין, להורות על ססילה כאמור לתקוסה קצרה יותר.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"מסילה מהחזיק</w:t>
                        </w:r>
                      </w:p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רכב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46 לסקודה' במקום "שסעיסים 35-42 או 43 ו-44 חלים עליה" יבוא "שסעיפים</w:t>
                        </w:r>
                      </w:p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עד 42 או 43"' 44 ו-44א חלים עליה".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52 לסקודה יבוא: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היתה רשות הרישוי סבורה כי בדרך נהיגתו של אדם יש משום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לבטיחות התנועה רשאית היא לצוות על התליית רשיון הנהיגה שלו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שיעבור בחינות ובדיקות רפואיות שתקבע ויימצא מתאים לנהוג רכב'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שהרשות תזמינו לבחינות ולבדיקות רפואיות ששה שבועות מיום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שהחליטה על התליית רשיונו.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שהוחלט עליו לפי סעיף זה רשאי' כתום שלושה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החלטת הרשות על התליית רשיונו' לערער תוך עשרה ימים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המשכת ההתלייה לפני בית המשפט המחוזי שבאזור מגוריו הוא יושב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רשאי לאשר את המשכת ההתלייה' עד לגמר הבחינות וה-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הרפואיות' לתקופה מסויימת או עד למילוי תנאים שיקבע' או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ההחלטה או לבטלה."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"התליית רשיון</w:t>
                        </w:r>
                      </w:p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בטיחות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62 לפקודה' במקום פסקה (5) יבוא: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בהיותו בעל רכב או מחזיק רכב או מי שהרכב בשליטתו'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מוסר מיד' לפי דרישתו של שוטר' ידיעה שבידו למסרה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עשויה להביא לזיהויו ולתפיסתו של נוהג הרכב שהיה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 בתאונה או שבדרך שימושו ברכב היה משום עבירה'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שאם נדרש למסור את הידיעה בכתב - עליו למסרה</w:t>
                        </w:r>
                      </w:p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15 יום מיום הדרישה."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64א</w:t>
                        </w:r>
                      </w:p>
                    </w:tc>
                    <w:tc>
                      <w:tcPr>
                        <w:tcW w:w="4112" w:type="pct"/>
                        <w:gridSpan w:val="2"/>
                      </w:tcPr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64 לפקודה יבוא:</w:t>
                        </w:r>
                      </w:p>
                    </w:tc>
                  </w:tr>
                  <w:tr w:rsidR="00394A74" w:rsidRPr="000972B9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(א) נוהג רכב שתוך נהיגה גרם לתאונה' והוא ידע' או שהיה עליו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לדעת' כי כנסיבות המקרה עשוי היה להיפגע אדם, ולא עצר במקום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התאונה' או קרוב לו ככל האפשר' כדי לעמוד על תוצאות התאונה'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שנים, עם קנס או ללא קנס' ובלבד שלא יוטל עליו</w:t>
                        </w:r>
                      </w:p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מאסר-על-תנאי כעונש יחיד ולא יינתן עליו צו מבחן.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94A74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"הפקרה אחרי</w:t>
                        </w:r>
                      </w:p>
                      <w:p w:rsidR="00394A74" w:rsidRPr="000972B9" w:rsidRDefault="00394A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מגיעה</w:t>
                        </w:r>
                      </w:p>
                    </w:tc>
                  </w:tr>
                </w:tbl>
                <w:p w:rsidR="00394A74" w:rsidRDefault="00394A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4A74" w:rsidRDefault="00394A74">
      <w:pPr>
        <w:rPr>
          <w:rtl/>
        </w:rPr>
      </w:pPr>
      <w:r>
        <w:rPr>
          <w:rtl/>
        </w:rPr>
        <w:br w:type="page"/>
      </w:r>
    </w:p>
    <w:p w:rsidR="00394A74" w:rsidRDefault="00000000">
      <w:pPr>
        <w:rPr>
          <w:rtl/>
        </w:rPr>
      </w:pPr>
      <w:r>
        <w:pict>
          <v:shape id="_x0000_s2807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075" inset="0,0,0,0">
              <w:txbxContent>
                <w:p w:rsidR="00394A74" w:rsidRDefault="00394A74">
                  <w:r>
                    <w:rPr>
                      <w:rtl/>
                    </w:rPr>
                    <w:t>204                                          ספר החוקים 460                  י"ח בתמוז התשכ"ה 18.07.1965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6" o:spid="_x0000_s1033" type="#_x0000_t202" style="position:absolute;left:0;text-align:left;margin-left:77.1pt;margin-top:715.8pt;width:173.45pt;height:27.9pt;z-index:12;mso-position-horizontal-relative:page;mso-position-vertical-relative:page" stroked="f">
            <v:textbox style="mso-next-textbox:#_x0000_s28076" inset="0,0,0,0">
              <w:txbxContent>
                <w:p w:rsidR="00394A74" w:rsidRDefault="00394A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077" o:spid="_x0000_s1034" type="#_x0000_t202" style="position:absolute;left:0;text-align:left;margin-left:92.15pt;margin-top:632.45pt;width:99.4pt;height:42.15pt;z-index:11;mso-position-horizontal-relative:page;mso-position-vertical-relative:page" stroked="f">
            <v:textbox style="mso-next-textbox:#_x0000_s28077" inset="0,0,0,0">
              <w:txbxContent>
                <w:p w:rsidR="00394A74" w:rsidRDefault="00394A74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394A74" w:rsidRDefault="00394A74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8" o:spid="_x0000_s1035" type="#_x0000_t202" style="position:absolute;left:0;text-align:left;margin-left:218.5pt;margin-top:637.6pt;width:85.95pt;height:32.85pt;z-index:10;mso-position-horizontal-relative:page;mso-position-vertical-relative:page" stroked="f">
            <v:textbox style="mso-next-textbox:#_x0000_s28078" inset="0,0,0,0">
              <w:txbxContent>
                <w:p w:rsidR="00394A74" w:rsidRDefault="00394A74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94A74" w:rsidRDefault="00394A74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9" o:spid="_x0000_s1036" type="#_x0000_t202" style="position:absolute;left:0;text-align:left;margin-left:339.85pt;margin-top:665.3pt;width:140pt;height:44.75pt;z-index:9;mso-position-horizontal-relative:page;mso-position-vertical-relative:page" stroked="f">
            <v:textbox style="mso-next-textbox:#_x0000_s28079" inset="0,0,0,0">
              <w:txbxContent>
                <w:p w:rsidR="00394A74" w:rsidRDefault="00394A74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94A74" w:rsidRDefault="00394A74">
                  <w:pPr>
                    <w:pStyle w:val="OCRStyle3"/>
                    <w:ind w:left="9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0" o:spid="_x0000_s1037" type="#_x0000_t202" style="position:absolute;left:0;text-align:left;margin-left:76.1pt;margin-top:64.55pt;width:471.05pt;height:554.4pt;z-index:8;mso-position-horizontal-relative:page;mso-position-vertical-relative:page" stroked="f">
            <v:textbox style="mso-next-textbox:#_x0000_s280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7"/>
                    <w:gridCol w:w="1379"/>
                    <w:gridCol w:w="1549"/>
                  </w:tblGrid>
                  <w:tr w:rsidR="00394A74" w:rsidRPr="00394A74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נוהג רכב שתוך נהיגה גרם לתאונה' והוא ידע' או שבנסיבות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 היה עליו לדעת, כי בתאונה נפגע אדם, ולא הגיש לנפגע עזרה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ביכולתו להגיש בנסיבות המקרה' לרבות הסעתו לטיפול רפואי'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תשע שנים, עם קנס או ללא קנס' ובלבד שלא יוטל עליו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מאסר-על-תנאי כעונש יחיד ולא יינתן עליו צו מבחן."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70 לפקודה' אחרי פסקה (22) יבוא;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"(22א) הסדר שעות עבודה' נהיגה ומנוחה של הנוהגים ברכב'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שהנהיגה היא משלח ידם או קשורה במשלח ידם, והפיקוח על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הסדר כאמור; תקנות כאמור יכול שיהיו לגבי רכב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לסוגים של רכב."</w:t>
                        </w:r>
                      </w:p>
                    </w:tc>
                    <w:tc>
                      <w:tcPr>
                        <w:tcW w:w="904" w:type="pct"/>
                      </w:tcPr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394A74" w:rsidRPr="00394A74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70 לפקודה יבוא:</w:t>
                        </w:r>
                      </w:p>
                    </w:tc>
                    <w:tc>
                      <w:tcPr>
                        <w:tcW w:w="904" w:type="pct"/>
                      </w:tcPr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סעיף 70א</w:t>
                        </w:r>
                      </w:p>
                    </w:tc>
                  </w:tr>
                  <w:tr w:rsidR="00394A74">
                    <w:trPr>
                      <w:jc w:val="right"/>
                    </w:trPr>
                    <w:tc>
                      <w:tcPr>
                        <w:tcW w:w="3291" w:type="pct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(א) נמצא רכב עומד במקום שהעמדתו אסורה על פי חיקוק'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בעל הרכב' את נהגו וכן אדם אחר האחראי לרכב (להלן בסעיף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בעל הרכב)' כאילו העמידו כאמור' זולת אם הוכיח שהוא לא העמיד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הרכב באותו מקום, וכן ברשות מי היה הרכב אותה שעה או שהרכב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נלקח ללא הסכמתו.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רכב העומד כמקום שהעמדתו אסורה על פי חיקוק או בנסיבות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בהן כדי הסרת סדרי תנועה או בטיחותה' או שלדעת שוטר דרושה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הרחקתו לשם הסדרת תנועה או לבטיחותה או לבטיחות הציבור' רשאי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להורות למי שהרכב ברשותו אותה שעה להרחיקו או לגררו.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מילא מי שהרכב ברשותו אותה שעה אחרי הוראת שוטר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או אינו נמצא במקום, רשאי שוטר' בין בעצמו ובין על ידי אחר'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להרחיק את הרכב' לגררו ולהחסינו' ובלבד שינקוט באמצעי הזהירות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הדרושים כדי להבטיח את בטיחות הרכב.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הפעולות האמורות בסעיף קטן (ג) ביחס לרכב שהו-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במקום שהעמדתו אסורה על פי חיקוק או בנסיבות שיש בהן כדי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סדרי תנועה או בטיחותה ומי שהרכב אותה שעה ברשותו לא מילא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הוראת שוטר להרחיקו' בסכום שנקבע' יהיו מוטלות על בעל הרכב</w:t>
                        </w:r>
                      </w:p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חייב להחזיר אותו סכום לאוצר המדינה."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לחניה</w:t>
                        </w:r>
                      </w:p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וסמכותו של שוטר</w:t>
                        </w:r>
                      </w:p>
                    </w:tc>
                    <w:tc>
                      <w:tcPr>
                        <w:tcW w:w="904" w:type="pct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4A74" w:rsidRPr="00394A74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77 (א) לפקודה' במקום "הממונה על המחוז ורשות הרישוי" יבוא "שר הפנים</w:t>
                        </w:r>
                      </w:p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התחבורה".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394A74" w:rsidRPr="00394A74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 של התוספת השניה לפקודה' המלים "(למעט עבירות כאמור שנעברו בדרך</w:t>
                        </w:r>
                      </w:p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עירונית)" - יימחקו.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חתוס6ת</w:t>
                        </w:r>
                      </w:p>
                      <w:p w:rsidR="00394A74" w:rsidRPr="00394A74" w:rsidRDefault="00394A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</w:tbl>
                <w:p w:rsidR="00394A74" w:rsidRDefault="00394A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972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E0C7B5-EDA4-42DB-B25A-A4FB8EA8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72C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72B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94A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2008-04-09T14:41:00Z</dcterms:created>
  <dcterms:modified xsi:type="dcterms:W3CDTF">2008-04-09T14:41:00Z</dcterms:modified>
</cp:coreProperties>
</file>