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381B" w:rsidRDefault="00CD381B">
      <w:pPr>
        <w:rPr>
          <w:rtl/>
        </w:rPr>
      </w:pPr>
    </w:p>
    <w:p w:rsidR="00CD38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088" inset="0,0,0,0">
              <w:txbxContent>
                <w:p w:rsidR="008C41A2" w:rsidRDefault="008C41A2">
                  <w:r>
                    <w:rPr>
                      <w:rtl/>
                    </w:rPr>
                    <w:t>64                                           ספר החוקים 367                   ח' בניסן התשכ"ב 12.04.1962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89" o:spid="_x0000_s1026" type="#_x0000_t202" style="position:absolute;left:0;text-align:left;margin-left:79.55pt;margin-top:665.1pt;width:384.9pt;height:75.85pt;z-index:3;mso-position-horizontal-relative:page;mso-position-vertical-relative:page" stroked="f">
            <v:textbox style="mso-next-textbox:#_x0000_s28089" inset="0,0,0,0">
              <w:txbxContent>
                <w:p w:rsidR="008C41A2" w:rsidRDefault="008C41A2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כ"ז באדר ב' תשכ"ב (2 באפריל 1962); הצעת החוק ודברי הסבר נתפרסמו בה'"ח 490,</w:t>
                  </w:r>
                </w:p>
                <w:p w:rsidR="008C41A2" w:rsidRDefault="008C41A2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תשכ"ב, עמ' .69</w:t>
                  </w:r>
                </w:p>
                <w:p w:rsidR="008C41A2" w:rsidRDefault="008C41A2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7, עמ' 173.</w:t>
                  </w:r>
                </w:p>
                <w:p w:rsidR="008C41A2" w:rsidRPr="00CD381B" w:rsidRDefault="008C41A2">
                  <w:pPr>
                    <w:pStyle w:val="OCRStyle1"/>
                    <w:ind w:left="4021"/>
                  </w:pPr>
                  <w:r>
                    <w:rPr>
                      <w:rtl/>
                    </w:rPr>
                    <w:t>ספר החוקים 367, ח' בניסן תשכ"ב, 12.4.1962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90" o:spid="_x0000_s1027" type="#_x0000_t202" style="position:absolute;left:0;text-align:left;margin-left:83.9pt;margin-top:100.4pt;width:460.55pt;height:560.55pt;z-index:2;mso-position-horizontal-relative:page;mso-position-vertical-relative:page" stroked="f">
            <v:textbox style="mso-next-textbox:#_x0000_s280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02"/>
                    <w:gridCol w:w="1417"/>
                    <w:gridCol w:w="1454"/>
                  </w:tblGrid>
                  <w:tr w:rsidR="008C41A2" w:rsidRPr="00CD381B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C41A2" w:rsidRDefault="008C41A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.בפקודת התעבורה1 (להלן - הפקודה)/ בסעיף 25 (ג), במקום "לגבי עכירות תעבורה"</w:t>
                        </w:r>
                      </w:p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"לגבי העבירות המפורטות בסעיף קטן (א) ולגבי סמכויותיו האחרות לפי פקודה זו'/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8C41A2" w:rsidRPr="00CD381B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26 לפקודה -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כמקום פסקה (2) יבוא: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שופט תעבורה יתמנה לתקופה מוגבלת שתקבע ועדת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המינויים ושלא תפחת משנה ולא תעלה על שלוש שנים;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תעבורה שנתמנה לתקופה פחותה משלוש שנים, מותר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לחזור ולמנותו, ובלבד שכל מינוי נוסף יהיה לתקופה שלא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משנה ושתקופת כהונתו הכוללת לא תעלה על שלוש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שנים";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(5) יבוא: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שופט תעבורה שהתחיל במשפט ולא סיים אותו לפני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תקופת כהונתו, רשאי שופט אחר להמשיך במשפט מן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השלב שאליו הגיע קודמו; נגבו במשפט ראיות, רשאי השופט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 לנהוג בהן כאילו גבה אותן בעצמו או לחזור ולגבותן,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מקצתן;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מי שכיהן כשופט תעבורה שלוש שנים, כשיר להתמנות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תעבורה מינוי של קבע: על המינוי יחולו הוראות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5 עד 7 לחוק השופטים;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שופט תעבורה שנתמנה מינוי של קבע, יחולו עליו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18,17,15 ו-23א לחוק השופטים ולא יחולו</w:t>
                        </w:r>
                      </w:p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הפסקאות (2), (3) ו-(5) לסעיף זה."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8C41A2" w:rsidRPr="00CD381B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29 לפקודה, במקום סעיף קטן (א) יבוא: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היה לשוטר או לעובד ציבור שהורשה לכך על ידי שר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המשטרה, יסוד להאמין כי אדם פלוני עבר עבירת קנס, רשאי הוא למסור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הזמנה למשפט בנוסח שנקבע, או להזמינו למשפט כדרך אחרת שקבע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בתקנות; בהזמנה יואשם המוזמן בעבירה שתצויין בה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ותינתן לו הברירה לשלם קנס בשיעור שנקבע במקום להישפט על אותה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עבירה; לענין סעיף זה "מסירת הזמנה" - לרבות הזמנה בדרך שקבע</w:t>
                        </w:r>
                      </w:p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 כאמור."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29</w:t>
                        </w:r>
                      </w:p>
                    </w:tc>
                  </w:tr>
                  <w:tr w:rsidR="008C41A2" w:rsidRPr="00CD381B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במקום הסעיפים 57 ו-58 לפקודה יבוא:</w:t>
                        </w:r>
                      </w:p>
                    </w:tc>
                    <w:tc>
                      <w:tcPr>
                        <w:tcW w:w="868" w:type="pct"/>
                        <w:vMerge w:val="restart"/>
                      </w:tcPr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 ו-58</w:t>
                        </w:r>
                      </w:p>
                    </w:tc>
                  </w:tr>
                  <w:tr w:rsidR="008C41A2">
                    <w:trPr>
                      <w:jc w:val="right"/>
                    </w:trPr>
                    <w:tc>
                      <w:tcPr>
                        <w:tcW w:w="3286" w:type="pct"/>
                      </w:tcPr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57. (א) בעל רשיון נהיגה שנפסל מהחזיק בו כאמור בסעיף 56, רשאי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משופט תעבורה ביטול הפסילה.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פסילה לפי סעיף 56 תפקע כתום 30 יום מיום החלטת הפסילה,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הוגשה לשופט תעבורה בקשה לאישורה לפני תום מועד זה או</w:t>
                        </w:r>
                      </w:p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בוטלה על ידי השופט לפני כן.</w:t>
                        </w:r>
                      </w:p>
                    </w:tc>
                    <w:tc>
                      <w:tcPr>
                        <w:tcW w:w="846" w:type="pct"/>
                      </w:tcPr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"ביטול הפסילה, </w:t>
                        </w:r>
                      </w:p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פקיעתה ואישורה</w:t>
                        </w:r>
                      </w:p>
                      <w:p w:rsidR="008C41A2" w:rsidRPr="00CD381B" w:rsidRDefault="008C41A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</w:tc>
                    <w:tc>
                      <w:tcPr>
                        <w:tcW w:w="868" w:type="pct"/>
                        <w:vMerge/>
                      </w:tcPr>
                      <w:p w:rsidR="008C41A2" w:rsidRDefault="008C41A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C41A2" w:rsidRDefault="008C41A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91" o:spid="_x0000_s1028" type="#_x0000_t202" style="position:absolute;left:0;text-align:left;margin-left:145.85pt;margin-top:68.5pt;width:253.25pt;height:24.95pt;z-index:1;mso-position-horizontal-relative:page;mso-position-vertical-relative:page" stroked="f">
            <v:textbox style="mso-next-textbox:#_x0000_s28091" inset="0,0,0,0">
              <w:txbxContent>
                <w:p w:rsidR="008C41A2" w:rsidRPr="00CD381B" w:rsidRDefault="008C41A2">
                  <w:pPr>
                    <w:pStyle w:val="OCRStyle1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התעבורה, תשכ"ב-1962 *</w:t>
                  </w:r>
                </w:p>
              </w:txbxContent>
            </v:textbox>
            <w10:wrap anchorx="page" anchory="page"/>
          </v:shape>
        </w:pict>
      </w:r>
    </w:p>
    <w:p w:rsidR="00983542" w:rsidRDefault="00983542">
      <w:pPr>
        <w:rPr>
          <w:rtl/>
        </w:rPr>
      </w:pPr>
      <w:r>
        <w:rPr>
          <w:rtl/>
        </w:rPr>
        <w:br w:type="page"/>
      </w:r>
    </w:p>
    <w:p w:rsidR="00983542" w:rsidRDefault="00000000">
      <w:pPr>
        <w:rPr>
          <w:rtl/>
        </w:rPr>
      </w:pPr>
      <w:r>
        <w:pict>
          <v:shape id="_x0000_s2809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092" inset="0,0,0,0">
              <w:txbxContent>
                <w:p w:rsidR="008C41A2" w:rsidRDefault="008C41A2">
                  <w:r>
                    <w:rPr>
                      <w:rtl/>
                    </w:rPr>
                    <w:t>65                                           ספר החוקים 367                   ח' בניסן התשכ"ב 12.04.1962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93" o:spid="_x0000_s1030" type="#_x0000_t202" style="position:absolute;left:0;text-align:left;margin-left:357.3pt;margin-top:679.05pt;width:198pt;height:66.35pt;z-index:9;mso-position-horizontal-relative:page;mso-position-vertical-relative:page" stroked="f">
            <v:textbox style="mso-next-textbox:#_x0000_s28093" inset="0,0,0,0">
              <w:txbxContent>
                <w:p w:rsidR="008C41A2" w:rsidRPr="00983542" w:rsidRDefault="008C41A2">
                  <w:pPr>
                    <w:pStyle w:val="OCRStyle2"/>
                    <w:ind w:left="10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 ו 1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94" o:spid="_x0000_s1031" type="#_x0000_t202" style="position:absolute;left:0;text-align:left;margin-left:165.4pt;margin-top:251.95pt;width:118.8pt;height:43.15pt;z-index:8;mso-position-horizontal-relative:page;mso-position-vertical-relative:page" stroked="f">
            <v:textbox style="mso-next-textbox:#_x0000_s28094" inset="0,0,0,0">
              <w:txbxContent>
                <w:p w:rsidR="008C41A2" w:rsidRDefault="008C41A2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בן-אהרן</w:t>
                  </w:r>
                </w:p>
                <w:p w:rsidR="008C41A2" w:rsidRDefault="008C41A2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95" o:spid="_x0000_s1032" type="#_x0000_t202" style="position:absolute;left:0;text-align:left;margin-left:294.5pt;margin-top:252.95pt;width:109.3pt;height:38.6pt;z-index:7;mso-position-horizontal-relative:page;mso-position-vertical-relative:page" stroked="f">
            <v:textbox style="mso-next-textbox:#_x0000_s28095" inset="0,0,0,0">
              <w:txbxContent>
                <w:p w:rsidR="008C41A2" w:rsidRDefault="008C41A2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C41A2" w:rsidRDefault="008C41A2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96" o:spid="_x0000_s1033" type="#_x0000_t202" style="position:absolute;left:0;text-align:left;margin-left:447pt;margin-top:283.85pt;width:105.75pt;height:36.25pt;z-index:6;mso-position-horizontal-relative:page;mso-position-vertical-relative:page" stroked="f">
            <v:textbox style="mso-next-textbox:#_x0000_s28096" inset="0,0,0,0">
              <w:txbxContent>
                <w:p w:rsidR="008C41A2" w:rsidRDefault="008C41A2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C41A2" w:rsidRDefault="008C41A2">
                  <w:pPr>
                    <w:pStyle w:val="OCRStyle2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97" o:spid="_x0000_s1034" type="#_x0000_t202" style="position:absolute;left:0;text-align:left;margin-left:102.65pt;margin-top:73.75pt;width:449.25pt;height:173.05pt;z-index:5;mso-position-horizontal-relative:page;mso-position-vertical-relative:page" stroked="f">
            <v:textbox style="mso-next-textbox:#_x0000_s2809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7086"/>
                  </w:tblGrid>
                  <w:tr w:rsidR="008C41A2" w:rsidRPr="00983542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8C41A2" w:rsidRPr="00983542" w:rsidRDefault="008C41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76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8C41A2" w:rsidRDefault="008C41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שופט תעבורה רשאי לאשר את הפסילה' לצמיתות, לתקופה</w:t>
                        </w:r>
                      </w:p>
                      <w:p w:rsidR="008C41A2" w:rsidRDefault="008C41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או עד למילוי תנאים שיקבע, לשנותה או לבטלה.</w:t>
                        </w:r>
                      </w:p>
                      <w:p w:rsidR="008C41A2" w:rsidRDefault="008C41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 58. שר המשפטים יקבע את סדרי הדין בדיון לפני שופט התעבורה</w:t>
                        </w:r>
                      </w:p>
                      <w:p w:rsidR="008C41A2" w:rsidRDefault="008C41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בבקשות לפי סעיף 57."</w:t>
                        </w:r>
                      </w:p>
                      <w:p w:rsidR="008C41A2" w:rsidRDefault="008C41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76 לפקודה, בסופו' יבוא:</w:t>
                        </w:r>
                      </w:p>
                      <w:p w:rsidR="008C41A2" w:rsidRDefault="008C41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התחבורה יקבע בתקנות את המקומות שבהם רשאים לפעול עובדי</w:t>
                        </w:r>
                      </w:p>
                      <w:p w:rsidR="008C41A2" w:rsidRDefault="008C41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 שהורשו כאמור בסעיף 29 (א) ואת סימני הזיהוי והוכחת הרשאתם</w:t>
                        </w:r>
                      </w:p>
                      <w:p w:rsidR="008C41A2" w:rsidRPr="00983542" w:rsidRDefault="008C41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ציבור אלה."</w:t>
                        </w:r>
                      </w:p>
                    </w:tc>
                  </w:tr>
                  <w:tr w:rsidR="008C41A2" w:rsidRPr="00983542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8C41A2" w:rsidRPr="00983542" w:rsidRDefault="008C41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8C41A2" w:rsidRDefault="008C41A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הוראות סעיף 26(6)' (7), (8) לפקודה יחולו גם על שופט תעבורה שנתמנה לפני</w:t>
                        </w:r>
                      </w:p>
                      <w:p w:rsidR="008C41A2" w:rsidRPr="00983542" w:rsidRDefault="008C41A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זה.</w:t>
                        </w:r>
                      </w:p>
                    </w:tc>
                  </w:tr>
                </w:tbl>
                <w:p w:rsidR="008C41A2" w:rsidRDefault="008C41A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C41A2" w:rsidRDefault="008C41A2">
      <w:pPr>
        <w:rPr>
          <w:rtl/>
        </w:rPr>
      </w:pPr>
      <w:r>
        <w:rPr>
          <w:rtl/>
        </w:rPr>
        <w:br w:type="page"/>
      </w:r>
    </w:p>
    <w:p w:rsidR="008C41A2" w:rsidRDefault="00000000">
      <w:pPr>
        <w:rPr>
          <w:rtl/>
        </w:rPr>
      </w:pPr>
      <w:r>
        <w:pict>
          <v:shape id="_x0000_s28098" o:spid="_x0000_s1035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8098" inset="0,0,0,0">
              <w:txbxContent>
                <w:p w:rsidR="008C41A2" w:rsidRDefault="008C41A2">
                  <w:r>
                    <w:rPr>
                      <w:rtl/>
                    </w:rPr>
                    <w:t>66                                           ספר החוקים 367                   ח' בניסן התשכ"ב 12.04.1962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99" o:spid="_x0000_s1036" type="#_x0000_t202" style="position:absolute;left:0;text-align:left;margin-left:81.25pt;margin-top:675.3pt;width:176.4pt;height:51.5pt;z-index:11;mso-position-horizontal-relative:page;mso-position-vertical-relative:page" stroked="f">
            <v:textbox style="mso-next-textbox:#_x0000_s28099" inset="0,0,0,0">
              <w:txbxContent>
                <w:p w:rsidR="008C41A2" w:rsidRDefault="008C41A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D38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0FBDE0C-9B00-4ECF-A912-3375D09B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D381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8354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C41A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2008-04-06T19:40:00Z</dcterms:created>
  <dcterms:modified xsi:type="dcterms:W3CDTF">2008-04-06T19:40:00Z</dcterms:modified>
</cp:coreProperties>
</file>