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364F" w:rsidRDefault="0030364F">
      <w:pPr>
        <w:rPr>
          <w:rtl/>
        </w:rPr>
      </w:pPr>
    </w:p>
    <w:p w:rsidR="003036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1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196" inset="0,0,0,0">
              <w:txbxContent>
                <w:p w:rsidR="008B2DEB" w:rsidRDefault="008B2DEB">
                  <w:r>
                    <w:rPr>
                      <w:rtl/>
                    </w:rPr>
                    <w:t>147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7" o:spid="_x0000_s1026" type="#_x0000_t202" style="position:absolute;left:0;text-align:left;margin-left:115.65pt;margin-top:643.25pt;width:402.15pt;height:81.75pt;z-index:3;mso-position-horizontal-relative:page;mso-position-vertical-relative:page" stroked="f">
            <v:textbox style="mso-next-textbox:#_x0000_s28197" inset="0,0,0,0">
              <w:txbxContent>
                <w:p w:rsidR="008B2DEB" w:rsidRDefault="008B2DEB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תשכ"ג (7 באוגוסט 1863); הצעת החוק ודברי הסבר פורסמו בה"ח 577 תשכ"ג,</w:t>
                  </w:r>
                </w:p>
                <w:p w:rsidR="008B2DEB" w:rsidRDefault="008B2DEB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352.</w:t>
                  </w:r>
                </w:p>
                <w:p w:rsidR="008B2DEB" w:rsidRPr="0030364F" w:rsidRDefault="008B2DEB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223, תשי"ז,  עמ' 74; ס"ח 231, תשי''ז, עמ' 134; ס'"ח 306, תשי"ך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98" o:spid="_x0000_s1027" type="#_x0000_t202" style="position:absolute;left:0;text-align:left;margin-left:71.9pt;margin-top:442.7pt;width:453.6pt;height:195.45pt;z-index:2;mso-position-horizontal-relative:page;mso-position-vertical-relative:page" stroked="f">
            <v:textbox style="mso-next-textbox:#_x0000_s2819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5620"/>
                    <w:gridCol w:w="1526"/>
                  </w:tblGrid>
                  <w:tr w:rsidR="008B2DEB" w:rsidRPr="0030364F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8B2DEB" w:rsidRPr="0030364F" w:rsidRDefault="008B2D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120</w:t>
                        </w:r>
                      </w:p>
                    </w:tc>
                    <w:tc>
                      <w:tcPr>
                        <w:tcW w:w="4332" w:type="pct"/>
                        <w:gridSpan w:val="2"/>
                      </w:tcPr>
                      <w:p w:rsidR="008B2DEB" w:rsidRDefault="008B2D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20ב לחוק התביעות של קרבנות השואה (הסדר הטיפול), תשי"ז-1957 1,</w:t>
                        </w:r>
                      </w:p>
                      <w:p w:rsidR="008B2DEB" w:rsidRPr="0030364F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זה:</w:t>
                        </w:r>
                      </w:p>
                    </w:tc>
                  </w:tr>
                  <w:tr w:rsidR="008B2DEB" w:rsidRPr="0030364F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(א) כסעיף זה -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"תביעה לגביית פקדונות שווייץ" - כל תביעה בחוץ-לארץ שהגשתה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נתאפשרה על ידי גילוי רכוש, כתוצאה מהוראות חוק הקהילה הפד-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ראלית ההלווטית מיום 20 בדצמבר 1962 בדבר הרכוש הנמצא בשווייץ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והשייך לנתינים זרים או למחוסרי נתינות שנרדפו מטעמי גזע, דת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השקפה מדינית, או כל חוק שיבוא במקומו (להלן - פקדונות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שווייץ);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כתביעה לגביית פקדונות שווייץ"-לרבות כל פעולה שמטרתה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לגלות פקדונות שווייץ או להוכיח כי הזכויות של הבעל המקורי</w:t>
                        </w:r>
                      </w:p>
                      <w:p w:rsidR="008B2DEB" w:rsidRDefault="008B2D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פקדון שווייץ עברו לידי אדם אחר.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8B2DEB" w:rsidRPr="0030364F" w:rsidRDefault="008B2D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"פקדונות שווייץ</w:t>
                        </w:r>
                      </w:p>
                    </w:tc>
                  </w:tr>
                </w:tbl>
                <w:p w:rsidR="008B2DEB" w:rsidRDefault="008B2D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199" o:spid="_x0000_s1028" type="#_x0000_t202" style="position:absolute;left:0;text-align:left;margin-left:132.85pt;margin-top:389.45pt;width:378pt;height:45.55pt;z-index:1;mso-position-horizontal-relative:page;mso-position-vertical-relative:page" stroked="f">
            <v:textbox style="mso-next-textbox:#_x0000_s28199" inset="0,0,0,0">
              <w:txbxContent>
                <w:p w:rsidR="008B2DEB" w:rsidRDefault="008B2DEB">
                  <w:pPr>
                    <w:pStyle w:val="OCRStyle1"/>
                    <w:ind w:left="22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התביעות של קרבנות השואה (הסדר הטיפול) (תיקון מס' 4),</w:t>
                  </w:r>
                </w:p>
                <w:p w:rsidR="008B2DEB" w:rsidRPr="0030364F" w:rsidRDefault="008B2DEB">
                  <w:pPr>
                    <w:pStyle w:val="OCRStyle1"/>
                    <w:ind w:left="270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תשכ"ג-1963 *</w:t>
                  </w:r>
                </w:p>
              </w:txbxContent>
            </v:textbox>
            <w10:wrap anchorx="page" anchory="page"/>
          </v:shape>
        </w:pict>
      </w:r>
    </w:p>
    <w:p w:rsidR="008B2DEB" w:rsidRDefault="008B2DEB">
      <w:pPr>
        <w:rPr>
          <w:rtl/>
        </w:rPr>
      </w:pPr>
      <w:r>
        <w:rPr>
          <w:rtl/>
        </w:rPr>
        <w:br w:type="page"/>
      </w:r>
    </w:p>
    <w:p w:rsidR="008B2DEB" w:rsidRDefault="00000000">
      <w:pPr>
        <w:rPr>
          <w:rtl/>
        </w:rPr>
      </w:pPr>
      <w:r>
        <w:pict>
          <v:shape id="_x0000_s2820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8200" inset="0,0,0,0">
              <w:txbxContent>
                <w:p w:rsidR="008B2DEB" w:rsidRDefault="008B2DEB">
                  <w:r>
                    <w:rPr>
                      <w:rtl/>
                    </w:rPr>
                    <w:t>148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1" o:spid="_x0000_s1030" type="#_x0000_t202" style="position:absolute;left:0;text-align:left;margin-left:93.95pt;margin-top:704.45pt;width:175.65pt;height:24.15pt;z-index:10;mso-position-horizontal-relative:page;mso-position-vertical-relative:page" stroked="f">
            <v:textbox style="mso-next-textbox:#_x0000_s28201" inset="0,0,0,0">
              <w:txbxContent>
                <w:p w:rsidR="008B2DEB" w:rsidRDefault="008B2D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202" o:spid="_x0000_s1031" type="#_x0000_t202" style="position:absolute;left:0;text-align:left;margin-left:323.05pt;margin-top:661.5pt;width:155.85pt;height:23.15pt;z-index:9;mso-position-horizontal-relative:page;mso-position-vertical-relative:page" stroked="f">
            <v:textbox style="mso-next-textbox:#_x0000_s28202" inset="0,0,0,0">
              <w:txbxContent>
                <w:p w:rsidR="008B2DEB" w:rsidRPr="008B2DEB" w:rsidRDefault="008B2DEB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2 ע''ר 1941' תוס' ו מסי 134 נ'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3" o:spid="_x0000_s1032" type="#_x0000_t202" style="position:absolute;left:0;text-align:left;margin-left:130pt;margin-top:581.5pt;width:75.25pt;height:39pt;z-index:8;mso-position-horizontal-relative:page;mso-position-vertical-relative:page" stroked="f">
            <v:textbox style="mso-next-textbox:#_x0000_s28203" inset="0,0,0,0">
              <w:txbxContent>
                <w:p w:rsidR="008B2DEB" w:rsidRDefault="008B2DEB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8B2DEB" w:rsidRDefault="008B2DEB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4" o:spid="_x0000_s1033" type="#_x0000_t202" style="position:absolute;left:0;text-align:left;margin-left:236.5pt;margin-top:582.3pt;width:86.35pt;height:33.05pt;z-index:7;mso-position-horizontal-relative:page;mso-position-vertical-relative:page" stroked="f">
            <v:textbox style="mso-next-textbox:#_x0000_s28204" inset="0,0,0,0">
              <w:txbxContent>
                <w:p w:rsidR="008B2DEB" w:rsidRDefault="008B2DEB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B2DEB" w:rsidRDefault="008B2DEB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5" o:spid="_x0000_s1034" type="#_x0000_t202" style="position:absolute;left:0;text-align:left;margin-left:348.2pt;margin-top:610.2pt;width:138.8pt;height:42.35pt;z-index:6;mso-position-horizontal-relative:page;mso-position-vertical-relative:page" stroked="f">
            <v:textbox style="mso-next-textbox:#_x0000_s28205" inset="0,0,0,0">
              <w:txbxContent>
                <w:p w:rsidR="008B2DEB" w:rsidRDefault="008B2DEB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B2DEB" w:rsidRDefault="008B2DEB">
                  <w:pPr>
                    <w:pStyle w:val="OCRStyle2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06" o:spid="_x0000_s1035" type="#_x0000_t202" style="position:absolute;left:0;text-align:left;margin-left:87.65pt;margin-top:62.75pt;width:374.8pt;height:505.3pt;z-index:5;mso-position-horizontal-relative:page;mso-position-vertical-relative:page" stroked="f">
            <v:textbox style="mso-next-textbox:#_x0000_s28206" inset="0,0,0,0">
              <w:txbxContent>
                <w:p w:rsidR="008B2DEB" w:rsidRDefault="008B2DEB">
                  <w:pPr>
                    <w:pStyle w:val="OCRStyle2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(ב) על תביעות לגביית פקדונות שווייץ ועל הטיפול כהן יחולו</w:t>
                  </w:r>
                </w:p>
                <w:p w:rsidR="008B2DEB" w:rsidRDefault="008B2DEB">
                  <w:pPr>
                    <w:pStyle w:val="OCRStyle2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הוראות חוק זה' למעט הסעיפים 2' 10' 16א עד 16ג' 18' 20א' 20ב ו-21'</w:t>
                  </w:r>
                </w:p>
                <w:p w:rsidR="008B2DEB" w:rsidRDefault="008B2DEB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כאילו התביעות הן תביעות כמשמעותן בסעיף ו.</w:t>
                  </w:r>
                </w:p>
                <w:p w:rsidR="008B2DEB" w:rsidRDefault="008B2DEB">
                  <w:pPr>
                    <w:pStyle w:val="OCRStyle2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(ג) לא יטפל אדם בישראל בתביעות לגביית פקדונות שווייץ אלא</w:t>
                  </w:r>
                </w:p>
                <w:p w:rsidR="008B2DEB" w:rsidRDefault="008B2DEB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אם הוא -</w:t>
                  </w:r>
                </w:p>
                <w:p w:rsidR="008B2DEB" w:rsidRDefault="008B2DEB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(1) עורך-דין, או</w:t>
                  </w:r>
                </w:p>
                <w:p w:rsidR="008B2DEB" w:rsidRDefault="008B2DEB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(2) תאגיד שאושר לענין זה על ידי שר המשפטים; האישור</w:t>
                  </w:r>
                </w:p>
                <w:p w:rsidR="008B2DEB" w:rsidRDefault="008B2DEB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יכול להיות לתקופה ובתנאים שיקבע השר, ובעד מתן האישור</w:t>
                  </w:r>
                </w:p>
                <w:p w:rsidR="008B2DEB" w:rsidRDefault="008B2DEB">
                  <w:pPr>
                    <w:pStyle w:val="OCRStyle2"/>
                    <w:ind w:left="1958"/>
                    <w:rPr>
                      <w:rtl/>
                    </w:rPr>
                  </w:pPr>
                  <w:r>
                    <w:rPr>
                      <w:rtl/>
                    </w:rPr>
                    <w:t>תשולם אגרה שתיקבע בתקנות.</w:t>
                  </w:r>
                </w:p>
                <w:p w:rsidR="008B2DEB" w:rsidRDefault="008B2DEB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(ד) לא יאשר שר המשפטים תאגיד לענין הטיפול בתביעות לגביית</w:t>
                  </w:r>
                </w:p>
                <w:p w:rsidR="008B2DEB" w:rsidRDefault="008B2DEB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פקדונות שווייץ אלא אם ראה -</w:t>
                  </w:r>
                </w:p>
                <w:p w:rsidR="008B2DEB" w:rsidRDefault="008B2DEB">
                  <w:pPr>
                    <w:pStyle w:val="OCRStyle2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(1) שלממשלה או להסתדרות הציונית העולמית או למוסד</w:t>
                  </w:r>
                </w:p>
                <w:p w:rsidR="008B2DEB" w:rsidRDefault="008B2DEB">
                  <w:pPr>
                    <w:pStyle w:val="OCRStyle2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ממוסדותיהן יש נציג בהנהלת התאגיד. או שהתאגיד הוא בעל</w:t>
                  </w:r>
                </w:p>
                <w:p w:rsidR="008B2DEB" w:rsidRDefault="008B2DEB">
                  <w:pPr>
                    <w:pStyle w:val="OCRStyle2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רשיון לניהול עסקי בנק לפי פקודת הבנקאות' 1941 2; וכן</w:t>
                  </w:r>
                </w:p>
                <w:p w:rsidR="008B2DEB" w:rsidRDefault="008B2DEB">
                  <w:pPr>
                    <w:pStyle w:val="OCRStyle2"/>
                    <w:ind w:left="1969"/>
                    <w:rPr>
                      <w:rtl/>
                    </w:rPr>
                  </w:pPr>
                  <w:r>
                    <w:rPr>
                      <w:rtl/>
                    </w:rPr>
                    <w:t>(2) שהטיפול בתביעות כאמור על ידי התאגיד יהיה כפיקוח</w:t>
                  </w:r>
                </w:p>
                <w:p w:rsidR="008B2DEB" w:rsidRDefault="008B2DEB">
                  <w:pPr>
                    <w:pStyle w:val="OCRStyle2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של עורך-דין שבשירות התאגיד;</w:t>
                  </w:r>
                </w:p>
                <w:p w:rsidR="008B2DEB" w:rsidRDefault="008B2DEB">
                  <w:pPr>
                    <w:pStyle w:val="OCRStyle2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אולם אין במילוי שני התנאים האלה כדי לחייב את שר המשפטים</w:t>
                  </w:r>
                </w:p>
                <w:p w:rsidR="008B2DEB" w:rsidRDefault="008B2DEB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לאשר תאגיד לענין סעיף זה.</w:t>
                  </w:r>
                </w:p>
                <w:p w:rsidR="008B2DEB" w:rsidRDefault="008B2DEB">
                  <w:pPr>
                    <w:pStyle w:val="OCRStyle2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(ה) על אף האמור כסעיף קטן (ג) לא יהא תאגיד שאושר לענין</w:t>
                  </w:r>
                </w:p>
                <w:p w:rsidR="008B2DEB" w:rsidRDefault="008B2DEB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סעיף זה רשאי לעשות בישראל פעולות אלה: לייצג תובע, לטעון בשמו</w:t>
                  </w:r>
                </w:p>
                <w:p w:rsidR="008B2DEB" w:rsidRDefault="008B2DEB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ולעשות כל פעולה אחרת בשמו לפני בית משפט' בית דין, בורר' גוף או</w:t>
                  </w:r>
                </w:p>
                <w:p w:rsidR="008B2DEB" w:rsidRDefault="008B2DEB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אדם כעל סמכות שיפוטית או מעין שיפוטית.</w:t>
                  </w:r>
                </w:p>
                <w:p w:rsidR="008B2DEB" w:rsidRDefault="008B2DEB">
                  <w:pPr>
                    <w:pStyle w:val="OCRStyle2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(ו) הוראות סעיף זה אינן פוגעות בזכות הייצוג לפני בתי דין</w:t>
                  </w:r>
                </w:p>
                <w:p w:rsidR="008B2DEB" w:rsidRDefault="008B2DEB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דתיים.</w:t>
                  </w:r>
                </w:p>
                <w:p w:rsidR="008B2DEB" w:rsidRDefault="008B2DEB">
                  <w:pPr>
                    <w:pStyle w:val="OCRStyle2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(ז) על אף האמור בכל הסכם - כין שנערך לפני תחילתו של</w:t>
                  </w:r>
                </w:p>
                <w:p w:rsidR="008B2DEB" w:rsidRDefault="008B2DEB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חוק התביעות של קרבנות השואה (הסדר הטיפול) (תיקון מס' 01' תשכ"ג-</w:t>
                  </w:r>
                </w:p>
                <w:p w:rsidR="008B2DEB" w:rsidRDefault="008B2DEB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1963, ובין שנערך לאחר מכן - לא יעלה שנר הטרחה הכולל בעד הטיפול</w:t>
                  </w:r>
                </w:p>
                <w:p w:rsidR="008B2DEB" w:rsidRDefault="008B2DEB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בתביעה לגביית פקדונות שווייץ הן בישראל והן כחוץ-לארץ על השיעורים</w:t>
                  </w:r>
                </w:p>
                <w:p w:rsidR="008B2DEB" w:rsidRDefault="008B2DEB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שיקבע שר המשפטיים בתקנות לפי מבחן או מבחנים שייראו לשר; ככל</w:t>
                  </w:r>
                </w:p>
                <w:p w:rsidR="008B2DEB" w:rsidRDefault="008B2DEB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מקום בחוק זה שמדובר בו בסכום העולה על הקבוע בסעיף 10' יבוא'</w:t>
                  </w:r>
                </w:p>
                <w:p w:rsidR="008B2DEB" w:rsidRDefault="008B2DEB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לענין הטיפול בתביעות לגביית פקדונות שווייץ, הסכום העולה על השי-</w:t>
                  </w:r>
                </w:p>
                <w:p w:rsidR="008B2DEB" w:rsidRDefault="008B2DEB">
                  <w:pPr>
                    <w:pStyle w:val="OCRStyle2"/>
                    <w:ind w:left="1109"/>
                  </w:pPr>
                  <w:r>
                    <w:rPr>
                      <w:rtl/>
                    </w:rPr>
                    <w:t>עורים כפי שנקבעו על פי סעיף זה."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3036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451B3C-A6A1-4951-9D9C-AC1CB939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364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B2D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2008-04-07T11:05:00Z</dcterms:created>
  <dcterms:modified xsi:type="dcterms:W3CDTF">2008-04-07T11:05:00Z</dcterms:modified>
</cp:coreProperties>
</file>