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E2ED0" w:rsidRDefault="00DE2ED0">
      <w:pPr>
        <w:rPr>
          <w:rtl/>
        </w:rPr>
      </w:pPr>
    </w:p>
    <w:p w:rsidR="00DE2ED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8357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8357" inset="0,0,0,0">
              <w:txbxContent>
                <w:p w:rsidR="00CC7198" w:rsidRDefault="00CC7198">
                  <w:r>
                    <w:rPr>
                      <w:rtl/>
                    </w:rPr>
                    <w:t>197                                          ספר החוקים 981                     כ"ה באב התש"מ 07.08.1980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28358" o:spid="_x0000_s1026" type="#_x0000_t202" style="position:absolute;left:0;text-align:left;margin-left:155.45pt;margin-top:655.2pt;width:389.05pt;height:87.7pt;z-index:3;mso-position-horizontal-relative:page;mso-position-vertical-relative:page" stroked="f">
            <v:textbox style="mso-next-textbox:#_x0000_s28358" inset="0,0,0,0">
              <w:txbxContent>
                <w:p w:rsidR="00CC7198" w:rsidRDefault="00CC7198">
                  <w:pPr>
                    <w:pStyle w:val="OCRStyle1"/>
                    <w:ind w:left="40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ב' באב תש"ם (15 ביולי 1980); הצעת הרווק ודברי הסבר פורסמו בה"ח 1412, תשליט,</w:t>
                  </w:r>
                </w:p>
                <w:p w:rsidR="00CC7198" w:rsidRDefault="00CC7198">
                  <w:pPr>
                    <w:pStyle w:val="OCRStyle1"/>
                    <w:ind w:left="515"/>
                    <w:rPr>
                      <w:rtl/>
                    </w:rPr>
                  </w:pPr>
                  <w:r>
                    <w:rPr>
                      <w:rtl/>
                    </w:rPr>
                    <w:t>עמ' 251.</w:t>
                  </w:r>
                </w:p>
                <w:p w:rsidR="00CC7198" w:rsidRDefault="00CC7198">
                  <w:pPr>
                    <w:pStyle w:val="OCRStyle1"/>
                    <w:ind w:left="414"/>
                    <w:rPr>
                      <w:rtl/>
                    </w:rPr>
                  </w:pPr>
                  <w:r>
                    <w:rPr>
                      <w:rtl/>
                    </w:rPr>
                    <w:t>1 כ''א 244 ,כרך 8, עמ' 479.</w:t>
                  </w:r>
                </w:p>
                <w:p w:rsidR="00CC7198" w:rsidRPr="00DE2ED0" w:rsidRDefault="00CC7198">
                  <w:pPr>
                    <w:pStyle w:val="OCRStyle1"/>
                    <w:ind w:left="410"/>
                  </w:pPr>
                  <w:r>
                    <w:rPr>
                      <w:rtl/>
                    </w:rPr>
                    <w:t>2 כ"א 244, כרך 8, עמ' .523</w:t>
                  </w:r>
                </w:p>
              </w:txbxContent>
            </v:textbox>
            <w10:wrap anchorx="page" anchory="page"/>
          </v:shape>
        </w:pict>
      </w:r>
      <w:r>
        <w:pict>
          <v:shape id="_x0000_s28359" o:spid="_x0000_s1027" type="#_x0000_t202" style="position:absolute;left:0;text-align:left;margin-left:81.4pt;margin-top:95.5pt;width:467.5pt;height:559.55pt;z-index:2;mso-position-horizontal-relative:page;mso-position-vertical-relative:page" stroked="f">
            <v:textbox style="mso-next-textbox:#_x0000_s28359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33"/>
                    <w:gridCol w:w="7067"/>
                  </w:tblGrid>
                  <w:tr w:rsidR="00CC7198" w:rsidRPr="00DE2ED0">
                    <w:trPr>
                      <w:jc w:val="right"/>
                    </w:trPr>
                    <w:tc>
                      <w:tcPr>
                        <w:tcW w:w="843" w:type="pct"/>
                      </w:tcPr>
                      <w:p w:rsidR="00CC7198" w:rsidRDefault="00CC71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  <w:p w:rsidR="00CC7198" w:rsidRPr="00DE2ED0" w:rsidRDefault="00CC71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</w:t>
                        </w:r>
                      </w:p>
                    </w:tc>
                    <w:tc>
                      <w:tcPr>
                        <w:tcW w:w="4157" w:type="pct"/>
                      </w:tcPr>
                      <w:p w:rsidR="00CC7198" w:rsidRDefault="00CC71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זה -</w:t>
                        </w:r>
                      </w:p>
                      <w:p w:rsidR="00CC7198" w:rsidRDefault="00CC71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"אמנת ורשה" - האמנה לאיחוד כללים מסויימים בדבר תובלה בין-לאומית באויר, שנח-</w:t>
                        </w:r>
                      </w:p>
                      <w:p w:rsidR="00CC7198" w:rsidRDefault="00CC71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תמה בורשה ביום 12 באוקטובר 1929 ופורסמה ברשומות 1;</w:t>
                        </w:r>
                      </w:p>
                      <w:p w:rsidR="00CC7198" w:rsidRDefault="00CC71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"פרוטוקול האג" - הפרוטוקול המתקן את אמנת ורשה' שנחתם בהאג ביום 28 בספטמבר</w:t>
                        </w:r>
                      </w:p>
                      <w:p w:rsidR="00CC7198" w:rsidRDefault="00CC71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1955 ופורסם ברשומות*;</w:t>
                        </w:r>
                      </w:p>
                      <w:p w:rsidR="00CC7198" w:rsidRDefault="00CC71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"אמנת גואדלהרה" - האמנה המוספת לאמנת ורשה בדבר תובלה בין-לאומית באויר</w:t>
                        </w:r>
                      </w:p>
                      <w:p w:rsidR="00CC7198" w:rsidRDefault="00CC71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המבוצעת בידי אדם שאינו המוביל לפי ההסכם/ שנחתמה בגואדלהרה ביום 18 בספטמבר</w:t>
                        </w:r>
                      </w:p>
                      <w:p w:rsidR="00CC7198" w:rsidRDefault="00CC71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1961;</w:t>
                        </w:r>
                      </w:p>
                      <w:p w:rsidR="00CC7198" w:rsidRDefault="00CC71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"פרוטוקול גואטמלה" - הפרוטוקול המתקן את אמנת ורשה ואת פרוטוקול האג' שנחתם</w:t>
                        </w:r>
                      </w:p>
                      <w:p w:rsidR="00CC7198" w:rsidRDefault="00CC71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בגואטמלה ביום 8 במרס 1971;</w:t>
                        </w:r>
                      </w:p>
                      <w:p w:rsidR="00CC7198" w:rsidRDefault="00CC71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"הפרוטוקול הראשון" - הפרוטוקול הנוסף מס' 1 המתקן את אמנת ורשה' שנחתם במונט-</w:t>
                        </w:r>
                      </w:p>
                      <w:p w:rsidR="00CC7198" w:rsidRDefault="00CC71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ריאול ביום 25 בספטמבר 1975;</w:t>
                        </w:r>
                      </w:p>
                      <w:p w:rsidR="00CC7198" w:rsidRDefault="00CC71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"הפרוטוקול השני" - הפרוטוקול הנוסף מס' 2 המתקן את אמנת ורשה כפי שתיקן אותה</w:t>
                        </w:r>
                      </w:p>
                      <w:p w:rsidR="00CC7198" w:rsidRDefault="00CC71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פרוטוקול האג' שנחתם במונטריאול ביום 25 בספטמבר 1975;</w:t>
                        </w:r>
                      </w:p>
                      <w:p w:rsidR="00CC7198" w:rsidRDefault="00CC71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"הפרוטוקול השלישי" - הפרוטוקול הנוסף מס' 3 המתקן את אמנת ורשה כפי שתיקנו</w:t>
                        </w:r>
                      </w:p>
                      <w:p w:rsidR="00CC7198" w:rsidRDefault="00CC71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אותה פרוטוקול האג ופרוטוקול גואטמלה' שנחתם במונטריאול ביום 25 בספטמבר</w:t>
                        </w:r>
                      </w:p>
                      <w:p w:rsidR="00CC7198" w:rsidRDefault="00CC71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1975;</w:t>
                        </w:r>
                      </w:p>
                      <w:p w:rsidR="00CC7198" w:rsidRDefault="00CC71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"הפרוטוקול הרביעי" - הפרוטוקול מס' 4 המתקן את אמנת ורשה כפי שתיקן אותה פרו-</w:t>
                        </w:r>
                      </w:p>
                      <w:p w:rsidR="00CC7198" w:rsidRDefault="00CC71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טוקול האג' שנחתם במונטריאול ביום 25 בספטמבר 1975;</w:t>
                        </w:r>
                      </w:p>
                      <w:p w:rsidR="00CC7198" w:rsidRDefault="00CC71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"האמנה" - אמנת ורשה' פרוטוקול האג' אמנת גואדלהרה' פרוטוקול גואטמלה' הפרוטוקול</w:t>
                        </w:r>
                      </w:p>
                      <w:p w:rsidR="00CC7198" w:rsidRDefault="00CC71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הראשון, השני' השלישי והרביעי' הכל לפי תחולתם;</w:t>
                        </w:r>
                      </w:p>
                      <w:p w:rsidR="00CC7198" w:rsidRDefault="00CC71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"שטח של מדינה" - לרבות שטחים שהיא מייצגת אותם ביחסי החוץ שלהם;</w:t>
                        </w:r>
                      </w:p>
                      <w:p w:rsidR="00CC7198" w:rsidRDefault="00CC71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"תובלת-פנים" - תובלה אוירית שמקום היציאה והיעוד שלה נמצאים לפו תנאי ההסכם</w:t>
                        </w:r>
                      </w:p>
                      <w:p w:rsidR="00CC7198" w:rsidRDefault="00CC71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 הצדדים בשטחה של ישראל' ולא הוסכם בו על חניה מחוץ לישראל;</w:t>
                        </w:r>
                      </w:p>
                      <w:p w:rsidR="00CC7198" w:rsidRDefault="00CC71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"תובלה מחוץ לאמנה" - תובלה אוירית שסעיפים 2 עד 4 אינם חלים עליה ודיני מדינת</w:t>
                        </w:r>
                      </w:p>
                      <w:p w:rsidR="00CC7198" w:rsidRPr="00DE2ED0" w:rsidRDefault="00CC71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 חלים עליה' אך היא אינה תובלת פנים.</w:t>
                        </w:r>
                      </w:p>
                    </w:tc>
                  </w:tr>
                  <w:tr w:rsidR="00CC7198" w:rsidRPr="00DE2ED0">
                    <w:trPr>
                      <w:jc w:val="right"/>
                    </w:trPr>
                    <w:tc>
                      <w:tcPr>
                        <w:tcW w:w="843" w:type="pct"/>
                      </w:tcPr>
                      <w:p w:rsidR="00CC7198" w:rsidRDefault="00CC71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תובלה בין מדינות</w:t>
                        </w:r>
                      </w:p>
                      <w:p w:rsidR="00CC7198" w:rsidRDefault="00CC71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שהן צדדים לאמנת</w:t>
                        </w:r>
                      </w:p>
                      <w:p w:rsidR="00CC7198" w:rsidRPr="00DE2ED0" w:rsidRDefault="00CC71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ורשה</w:t>
                        </w:r>
                      </w:p>
                    </w:tc>
                    <w:tc>
                      <w:tcPr>
                        <w:tcW w:w="4157" w:type="pct"/>
                      </w:tcPr>
                      <w:p w:rsidR="00CC7198" w:rsidRDefault="00CC71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על תובלה אוירית' שמקום היציאה ומקום היעוד שלה נמצאים לפי תנאי ההסכם בין</w:t>
                        </w:r>
                      </w:p>
                      <w:p w:rsidR="00CC7198" w:rsidRDefault="00CC71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הצדדים בשטחן של שתי מדינות שהן צדדים לאמנת ורשה' או בשטחה של אחת מהן בלבד</w:t>
                        </w:r>
                      </w:p>
                      <w:p w:rsidR="00CC7198" w:rsidRDefault="00CC71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שהיא צד לאמנת ורשה והוסכם על מקום חניה בשטחה של מדינה אחרת' יחולו הוראות</w:t>
                        </w:r>
                      </w:p>
                      <w:p w:rsidR="00CC7198" w:rsidRPr="00DE2ED0" w:rsidRDefault="00CC71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אמנת ורשה.</w:t>
                        </w:r>
                      </w:p>
                    </w:tc>
                  </w:tr>
                  <w:tr w:rsidR="00CC7198" w:rsidRPr="00DE2ED0">
                    <w:trPr>
                      <w:jc w:val="right"/>
                    </w:trPr>
                    <w:tc>
                      <w:tcPr>
                        <w:tcW w:w="843" w:type="pct"/>
                      </w:tcPr>
                      <w:p w:rsidR="00CC7198" w:rsidRDefault="00CC71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תובלה בין מדינות</w:t>
                        </w:r>
                      </w:p>
                      <w:p w:rsidR="00CC7198" w:rsidRDefault="00CC71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שהן צדדים</w:t>
                        </w:r>
                      </w:p>
                      <w:p w:rsidR="00CC7198" w:rsidRPr="00DE2ED0" w:rsidRDefault="00CC71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לפרוטוקול האג</w:t>
                        </w:r>
                      </w:p>
                    </w:tc>
                    <w:tc>
                      <w:tcPr>
                        <w:tcW w:w="4157" w:type="pct"/>
                      </w:tcPr>
                      <w:p w:rsidR="00CC7198" w:rsidRDefault="00CC71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על תובלה אוירית שמקום היציאה ומקום היעוד שלה נמצאים לפי תנאי ההסכם בין</w:t>
                        </w:r>
                      </w:p>
                      <w:p w:rsidR="00CC7198" w:rsidRPr="00DE2ED0" w:rsidRDefault="00CC71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הצדדים בשטחן של שתי מדינות שהן צדדים לפרוטוקול האג' או בשטחה של אחת מהן</w:t>
                        </w:r>
                      </w:p>
                    </w:tc>
                  </w:tr>
                </w:tbl>
                <w:p w:rsidR="00CC7198" w:rsidRDefault="00CC719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8360" o:spid="_x0000_s1028" type="#_x0000_t202" style="position:absolute;left:0;text-align:left;margin-left:240.8pt;margin-top:75.7pt;width:219.4pt;height:19pt;z-index:1;mso-position-horizontal-relative:page;mso-position-vertical-relative:page" stroked="f">
            <v:textbox style="mso-next-textbox:#_x0000_s28360" inset="0,0,0,0">
              <w:txbxContent>
                <w:p w:rsidR="00CC7198" w:rsidRPr="00DE2ED0" w:rsidRDefault="00CC7198">
                  <w:pPr>
                    <w:pStyle w:val="OCRStyle1"/>
                    <w:ind w:left="205"/>
                    <w:rPr>
                      <w:sz w:val="26"/>
                      <w:szCs w:val="26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התובלה האוירית, תש"ם-1980 *</w:t>
                  </w:r>
                  <w:r>
                    <w:rPr>
                      <w:sz w:val="24"/>
                      <w:szCs w:val="24"/>
                      <w:rtl/>
                    </w:rPr>
                    <w:tab/>
                  </w:r>
                </w:p>
              </w:txbxContent>
            </v:textbox>
            <w10:wrap anchorx="page" anchory="page"/>
          </v:shape>
        </w:pict>
      </w:r>
    </w:p>
    <w:p w:rsidR="00000876" w:rsidRDefault="00000876">
      <w:pPr>
        <w:rPr>
          <w:rtl/>
        </w:rPr>
      </w:pPr>
      <w:r>
        <w:rPr>
          <w:rtl/>
        </w:rPr>
        <w:br w:type="page"/>
      </w:r>
    </w:p>
    <w:p w:rsidR="00000876" w:rsidRDefault="00000000">
      <w:pPr>
        <w:rPr>
          <w:rtl/>
        </w:rPr>
      </w:pPr>
      <w:r>
        <w:pict>
          <v:shape id="_x0000_s28361" o:spid="_x0000_s1029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8361" inset="0,0,0,0">
              <w:txbxContent>
                <w:p w:rsidR="00CC7198" w:rsidRDefault="00CC7198">
                  <w:r>
                    <w:rPr>
                      <w:rtl/>
                    </w:rPr>
                    <w:t>198                                          ספר החוקים 981                     כ"ה באב התש"מ 07.08.1980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28362" o:spid="_x0000_s1030" type="#_x0000_t202" style="position:absolute;left:0;text-align:left;margin-left:91.35pt;margin-top:714.45pt;width:167.9pt;height:20.8pt;z-index:7;mso-position-horizontal-relative:page;mso-position-vertical-relative:page" stroked="f">
            <v:textbox style="mso-next-textbox:#_x0000_s28362" inset="0,0,0,0">
              <w:txbxContent>
                <w:p w:rsidR="00CC7198" w:rsidRDefault="00CC719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8363" o:spid="_x0000_s1031" type="#_x0000_t202" style="position:absolute;left:0;text-align:left;margin-left:358.25pt;margin-top:687.75pt;width:112.85pt;height:25.95pt;z-index:6;mso-position-horizontal-relative:page;mso-position-vertical-relative:page" stroked="f">
            <v:textbox style="mso-next-textbox:#_x0000_s28363" inset="0,0,0,0">
              <w:txbxContent>
                <w:p w:rsidR="00CC7198" w:rsidRPr="00000876" w:rsidRDefault="00CC7198">
                  <w:pPr>
                    <w:pStyle w:val="OCRStyle2"/>
                    <w:ind w:left="184"/>
                  </w:pPr>
                  <w:r>
                    <w:rPr>
                      <w:rtl/>
                    </w:rPr>
                    <w:t>3 ס"ח תשי"א, עמי 221.</w:t>
                  </w:r>
                </w:p>
              </w:txbxContent>
            </v:textbox>
            <w10:wrap anchorx="page" anchory="page"/>
          </v:shape>
        </w:pict>
      </w:r>
      <w:r>
        <w:pict>
          <v:shape id="_x0000_s28364" o:spid="_x0000_s1032" type="#_x0000_t202" style="position:absolute;left:0;text-align:left;margin-left:88.8pt;margin-top:66.2pt;width:471.05pt;height:620.75pt;z-index:5;mso-position-horizontal-relative:page;mso-position-vertical-relative:page" stroked="f">
            <v:textbox style="mso-next-textbox:#_x0000_s28364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92"/>
                    <w:gridCol w:w="1471"/>
                  </w:tblGrid>
                  <w:tr w:rsidR="00CC7198">
                    <w:trPr>
                      <w:jc w:val="right"/>
                    </w:trPr>
                    <w:tc>
                      <w:tcPr>
                        <w:tcW w:w="4141" w:type="pct"/>
                      </w:tcPr>
                      <w:p w:rsidR="00CC7198" w:rsidRDefault="00CC71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בלבד שהיא צד והוסכם על מקום חניה בשטחה של מדינה אחרת' יחולו הוראות אמנת</w:t>
                        </w:r>
                      </w:p>
                      <w:p w:rsidR="00CC7198" w:rsidRDefault="00CC71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ורשה כפי שתוקנה על ידי פרוטוקול האג.</w:t>
                        </w:r>
                      </w:p>
                    </w:tc>
                    <w:tc>
                      <w:tcPr>
                        <w:tcW w:w="859" w:type="pct"/>
                      </w:tcPr>
                      <w:p w:rsidR="00CC7198" w:rsidRDefault="00CC7198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CC7198" w:rsidRPr="00000876">
                    <w:trPr>
                      <w:jc w:val="right"/>
                    </w:trPr>
                    <w:tc>
                      <w:tcPr>
                        <w:tcW w:w="4141" w:type="pct"/>
                      </w:tcPr>
                      <w:p w:rsidR="00CC7198" w:rsidRDefault="00CC71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שר התחבורה רשאי להודיע ברשומות על כניסת אמנת גואדלהרה' פרוטוקול גואט-</w:t>
                        </w:r>
                      </w:p>
                      <w:p w:rsidR="00CC7198" w:rsidRDefault="00CC71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מלה' הפרוטוקולים הראשון, השני' השלישי והרביעי' כולם או מקצתם, לתקפם לגבי מדינת</w:t>
                        </w:r>
                      </w:p>
                      <w:p w:rsidR="00CC7198" w:rsidRDefault="00CC71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ישראל' ומשהודיע כך, יחולו הוראותיהם של אלה שניתנה עליהם ההודעה על תובלה</w:t>
                        </w:r>
                      </w:p>
                      <w:p w:rsidR="00CC7198" w:rsidRDefault="00CC71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אוירית בהתאם לקבוע בהם, והם יפורסמו ברשומות.</w:t>
                        </w:r>
                      </w:p>
                    </w:tc>
                    <w:tc>
                      <w:tcPr>
                        <w:tcW w:w="859" w:type="pct"/>
                      </w:tcPr>
                      <w:p w:rsidR="00CC7198" w:rsidRDefault="00CC71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ברשומות</w:t>
                        </w:r>
                      </w:p>
                      <w:p w:rsidR="00CC7198" w:rsidRPr="00000876" w:rsidRDefault="00CC71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כניסה לתוקף</w:t>
                        </w:r>
                      </w:p>
                    </w:tc>
                  </w:tr>
                  <w:tr w:rsidR="00CC7198" w:rsidRPr="00000876">
                    <w:trPr>
                      <w:jc w:val="right"/>
                    </w:trPr>
                    <w:tc>
                      <w:tcPr>
                        <w:tcW w:w="4141" w:type="pct"/>
                      </w:tcPr>
                      <w:p w:rsidR="00CC7198" w:rsidRDefault="00CC71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 (א) על תובלת פנים ותובלה מחוץ לאמנה יחולו הוראות האמנה שפורסמו ברשומות</w:t>
                        </w:r>
                      </w:p>
                      <w:p w:rsidR="00CC7198" w:rsidRDefault="00CC71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בכפוף לאמור בסעיף 8 ובתיאומים לפי הענין, אולם -</w:t>
                        </w:r>
                      </w:p>
                      <w:p w:rsidR="00CC7198" w:rsidRDefault="00CC71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שיעור הפיצויים שניתן להטיל על המוביל יהיה בגבול השיעור הקבוע</w:t>
                        </w:r>
                      </w:p>
                      <w:p w:rsidR="00CC7198" w:rsidRDefault="00CC71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באמנת ורשה כפי שתוקנה על ידי פרוטוקול האג;</w:t>
                        </w:r>
                      </w:p>
                      <w:p w:rsidR="00CC7198" w:rsidRDefault="00CC71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משהודיע שר התחבורה ברשומות לפי סעיף 4 על כניסתם לתוקף של</w:t>
                        </w:r>
                      </w:p>
                      <w:p w:rsidR="00CC7198" w:rsidRDefault="00CC71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פרוטוקול גואטמלה או של הפרוטוקול השלישי' יהיה שיעור הפיצויים כאמור</w:t>
                        </w:r>
                      </w:p>
                      <w:p w:rsidR="00CC7198" w:rsidRDefault="00CC71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באותם פרוטוקולים, לפי הענין.</w:t>
                        </w:r>
                      </w:p>
                      <w:p w:rsidR="00CC7198" w:rsidRDefault="00CC71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תחולת האמנה על תובלה מחוץ לאמנה' כל מקום באמנה שמדובר בו</w:t>
                        </w:r>
                      </w:p>
                      <w:p w:rsidR="00CC7198" w:rsidRDefault="00CC71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בבעל האמנה יתפרש ככולל כל מדינה שבה מצוי מקום היציאה או מקום היעוד לפי הסכם</w:t>
                        </w:r>
                      </w:p>
                      <w:p w:rsidR="00CC7198" w:rsidRPr="00000876" w:rsidRDefault="00CC71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התובלה' אף שאינה צד לאמנה.</w:t>
                        </w:r>
                      </w:p>
                    </w:tc>
                    <w:tc>
                      <w:tcPr>
                        <w:tcW w:w="859" w:type="pct"/>
                      </w:tcPr>
                      <w:p w:rsidR="00CC7198" w:rsidRDefault="00CC71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תובלת פנים</w:t>
                        </w:r>
                      </w:p>
                      <w:p w:rsidR="00CC7198" w:rsidRDefault="00CC71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ותובלה מחוץ</w:t>
                        </w:r>
                      </w:p>
                      <w:p w:rsidR="00CC7198" w:rsidRDefault="00CC71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לאמנה</w:t>
                        </w:r>
                      </w:p>
                      <w:p w:rsidR="00CC7198" w:rsidRPr="00000876" w:rsidRDefault="00CC71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</w:t>
                        </w:r>
                      </w:p>
                    </w:tc>
                  </w:tr>
                  <w:tr w:rsidR="00CC7198" w:rsidRPr="00000876">
                    <w:trPr>
                      <w:jc w:val="right"/>
                    </w:trPr>
                    <w:tc>
                      <w:tcPr>
                        <w:tcW w:w="4141" w:type="pct"/>
                      </w:tcPr>
                      <w:p w:rsidR="00CC7198" w:rsidRDefault="00CC71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 .(א) שר התחבורה' בהתייעצות עם שר המשפטים ושר האוצר ובאישור ועדת הכל-</w:t>
                        </w:r>
                      </w:p>
                      <w:p w:rsidR="00CC7198" w:rsidRDefault="00CC71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כלה של הכנסת' יקבע הוראות להשלמת דמי נזק שישולמו לתובע לפי הוראות האמנה</w:t>
                        </w:r>
                      </w:p>
                      <w:p w:rsidR="00CC7198" w:rsidRDefault="00CC71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למקרה של מוות או פגיעה גופנית; התקנות יקיימו' בין השאר' תנאים אלה:</w:t>
                        </w:r>
                      </w:p>
                      <w:p w:rsidR="00CC7198" w:rsidRDefault="00CC71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לא תוטל בהן חובה נוספת לתשלום פיצויים על המוביל' עובדיו וסובניו,</w:t>
                        </w:r>
                      </w:p>
                      <w:p w:rsidR="00CC7198" w:rsidRDefault="00CC71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מעבר לחובה כאמור באמנה;</w:t>
                        </w:r>
                      </w:p>
                      <w:p w:rsidR="00CC7198" w:rsidRDefault="00CC71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מותר לחייב בהן מובילים לגבות בישראל דמי השתתפות מנוסעים, אך</w:t>
                        </w:r>
                      </w:p>
                      <w:p w:rsidR="00CC7198" w:rsidRDefault="00CC71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תוטל בהן חובה נוספת על מובילים;</w:t>
                        </w:r>
                      </w:p>
                      <w:p w:rsidR="00CC7198" w:rsidRDefault="00CC71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לא תהא בהן הפליה בין מובילים באשר לנוסעים הנוגעים בדבר' וההטבות</w:t>
                        </w:r>
                      </w:p>
                      <w:p w:rsidR="00CC7198" w:rsidRDefault="00CC71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שיוענקו לנוסעים על פי התקנות יינתנו להם, יהא המוביל שהוליך אותם אשר</w:t>
                        </w:r>
                      </w:p>
                      <w:p w:rsidR="00CC7198" w:rsidRDefault="00CC71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יהא;</w:t>
                        </w:r>
                      </w:p>
                      <w:p w:rsidR="00CC7198" w:rsidRDefault="00CC71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כל אדם שנגרם לו נזק עקב מותו של נוסע ששילם דמי השתתפות או עקב</w:t>
                        </w:r>
                      </w:p>
                      <w:p w:rsidR="00CC7198" w:rsidRDefault="00CC71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פגיעה בגופו' יהא זכאי להטבות על פי התקנות.</w:t>
                        </w:r>
                      </w:p>
                      <w:p w:rsidR="00CC7198" w:rsidRDefault="00CC71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הסדר להשלמת דמי נזק לפי סעיף זה' שלפיו ישתתפו נוסעים בדמי השתתפות</w:t>
                        </w:r>
                      </w:p>
                      <w:p w:rsidR="00CC7198" w:rsidRDefault="00CC71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למימונו' ייראה בכל מקרה כביטוח לענין חוק הפיקוח על עסקי ביטוח' תשי"א-1951 3,</w:t>
                        </w:r>
                      </w:p>
                      <w:p w:rsidR="00CC7198" w:rsidRPr="00000876" w:rsidRDefault="00CC71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והביטוח ייעשה על ידי מבטח כמשמעותו באותו חוק.</w:t>
                        </w:r>
                      </w:p>
                    </w:tc>
                    <w:tc>
                      <w:tcPr>
                        <w:tcW w:w="859" w:type="pct"/>
                      </w:tcPr>
                      <w:p w:rsidR="00CC7198" w:rsidRPr="00000876" w:rsidRDefault="00CC71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השלמת דמי נזק</w:t>
                        </w:r>
                      </w:p>
                    </w:tc>
                  </w:tr>
                  <w:tr w:rsidR="00CC7198" w:rsidRPr="00000876">
                    <w:trPr>
                      <w:jc w:val="right"/>
                    </w:trPr>
                    <w:tc>
                      <w:tcPr>
                        <w:tcW w:w="4141" w:type="pct"/>
                      </w:tcPr>
                      <w:p w:rsidR="00CC7198" w:rsidRDefault="00CC71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רואים בתובלה אוירית את מקום היציאה ומקום היעוד כפי שהוסכם עליהם בין</w:t>
                        </w:r>
                      </w:p>
                      <w:p w:rsidR="00CC7198" w:rsidRPr="00000876" w:rsidRDefault="00CC71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הצדדים, אף אם חלה בתובלה הפסקה או העברה מכלי-טיס לכלי-טיס תוך כדי ביצועה.</w:t>
                        </w:r>
                      </w:p>
                    </w:tc>
                    <w:tc>
                      <w:tcPr>
                        <w:tcW w:w="859" w:type="pct"/>
                      </w:tcPr>
                      <w:p w:rsidR="00CC7198" w:rsidRDefault="00CC71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מקום היציאה</w:t>
                        </w:r>
                      </w:p>
                      <w:p w:rsidR="00CC7198" w:rsidRPr="00000876" w:rsidRDefault="00CC71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ומקום היעוד</w:t>
                        </w:r>
                      </w:p>
                    </w:tc>
                  </w:tr>
                  <w:tr w:rsidR="00CC7198" w:rsidRPr="00000876">
                    <w:trPr>
                      <w:jc w:val="right"/>
                    </w:trPr>
                    <w:tc>
                      <w:tcPr>
                        <w:tcW w:w="4141" w:type="pct"/>
                      </w:tcPr>
                      <w:p w:rsidR="00CC7198" w:rsidRDefault="00CC71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שר התחבורה רשאי להורות בצו -</w:t>
                        </w:r>
                      </w:p>
                      <w:p w:rsidR="00CC7198" w:rsidRDefault="00CC71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לגבי תובלת פנים או סוג מסוגיה - שהוראות האמנה, כולן או מקצתן'</w:t>
                        </w:r>
                      </w:p>
                      <w:p w:rsidR="00CC7198" w:rsidRPr="00000876" w:rsidRDefault="00CC71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 לסעיפים 2' 10' 11' 12' 13' 14 ,15' 17, 18' 19' 20 ,21/ 22 ,23,</w:t>
                        </w:r>
                      </w:p>
                    </w:tc>
                    <w:tc>
                      <w:tcPr>
                        <w:tcW w:w="859" w:type="pct"/>
                      </w:tcPr>
                      <w:p w:rsidR="00CC7198" w:rsidRDefault="00CC71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לשנות</w:t>
                        </w:r>
                      </w:p>
                      <w:p w:rsidR="00CC7198" w:rsidRPr="00000876" w:rsidRDefault="00CC71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מהוראות האמנה</w:t>
                        </w:r>
                      </w:p>
                    </w:tc>
                  </w:tr>
                </w:tbl>
                <w:p w:rsidR="00CC7198" w:rsidRDefault="00CC719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FE4FD9" w:rsidRDefault="00FE4FD9">
      <w:pPr>
        <w:rPr>
          <w:rtl/>
        </w:rPr>
      </w:pPr>
      <w:r>
        <w:rPr>
          <w:rtl/>
        </w:rPr>
        <w:br w:type="page"/>
      </w:r>
    </w:p>
    <w:p w:rsidR="00FE4FD9" w:rsidRDefault="00000000">
      <w:pPr>
        <w:rPr>
          <w:rtl/>
        </w:rPr>
      </w:pPr>
      <w:r>
        <w:pict>
          <v:shape id="_x0000_s28365" o:spid="_x0000_s1033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28365" inset="0,0,0,0">
              <w:txbxContent>
                <w:p w:rsidR="00CC7198" w:rsidRDefault="00CC7198">
                  <w:r>
                    <w:rPr>
                      <w:rtl/>
                    </w:rPr>
                    <w:t>199                                          ספר החוקים 981                     כ"ה באב התש"מ 07.08.1980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28366" o:spid="_x0000_s1034" type="#_x0000_t202" style="position:absolute;left:0;text-align:left;margin-left:371.95pt;margin-top:714.25pt;width:176.4pt;height:25.75pt;z-index:10;mso-position-horizontal-relative:page;mso-position-vertical-relative:page" stroked="f">
            <v:textbox style="mso-next-textbox:#_x0000_s28366" inset="0,0,0,0">
              <w:txbxContent>
                <w:p w:rsidR="00CC7198" w:rsidRDefault="00CC7198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28367" o:spid="_x0000_s1035" type="#_x0000_t202" style="position:absolute;left:0;text-align:left;margin-left:89.6pt;margin-top:66.8pt;width:459.75pt;height:632.8pt;z-index:9;mso-position-horizontal-relative:page;mso-position-vertical-relative:page" stroked="f">
            <v:textbox style="mso-next-textbox:#_x0000_s28367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74"/>
                    <w:gridCol w:w="7187"/>
                  </w:tblGrid>
                  <w:tr w:rsidR="00CC7198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CC7198" w:rsidRDefault="00CC7198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98" w:type="pct"/>
                      </w:tcPr>
                      <w:p w:rsidR="00CC7198" w:rsidRDefault="00CC719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24' 25' 25א' 29' 30א' 32 ו-34 לאמנת ורשה וסרט לאמנת גואדלהרה, לא</w:t>
                        </w:r>
                      </w:p>
                      <w:p w:rsidR="00CC7198" w:rsidRDefault="00CC719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יחולו על התובלה' ולקבוע הוראות אחרות תחתיהן באותו ענין;</w:t>
                        </w:r>
                      </w:p>
                      <w:p w:rsidR="00CC7198" w:rsidRDefault="00CC719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לגבי תובלה מחוץ לאמנה - הוראות שונות מהאמנה' בדבר עריכתם של</w:t>
                        </w:r>
                      </w:p>
                      <w:p w:rsidR="00CC7198" w:rsidRDefault="00CC719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כרטיסי נוסעים וכרטיסי כבודה ומטען ובדבר השיפוט,</w:t>
                        </w:r>
                      </w:p>
                    </w:tc>
                  </w:tr>
                  <w:tr w:rsidR="00CC7198" w:rsidRPr="00FE4FD9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CC7198" w:rsidRDefault="00CC719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המרה למטבע</w:t>
                        </w:r>
                      </w:p>
                      <w:p w:rsidR="00CC7198" w:rsidRPr="00FE4FD9" w:rsidRDefault="00CC719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ישראלי</w:t>
                        </w:r>
                      </w:p>
                    </w:tc>
                    <w:tc>
                      <w:tcPr>
                        <w:tcW w:w="4298" w:type="pct"/>
                      </w:tcPr>
                      <w:p w:rsidR="00CC7198" w:rsidRDefault="00CC719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(א) בפסיקת תשלום בתובענה לפי חוק זה או התקנות לפיו' רשאי בית המשפט תחילה</w:t>
                        </w:r>
                      </w:p>
                      <w:p w:rsidR="00CC7198" w:rsidRDefault="00CC719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לקבוע את הסכום שבו חייב הנתבע במטבע חוץ כפי שנקבע באמנה; בפסק דינו או בהחלטה</w:t>
                        </w:r>
                      </w:p>
                      <w:p w:rsidR="00CC7198" w:rsidRDefault="00CC719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מאוחרת יותר יקבע בית המשפט את סכום החיוב במטבע ישראלי לפי שער החליפין ביום</w:t>
                        </w:r>
                      </w:p>
                      <w:p w:rsidR="00CC7198" w:rsidRDefault="00CC719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מתן פסק הדין.</w:t>
                        </w:r>
                      </w:p>
                      <w:p w:rsidR="00CC7198" w:rsidRDefault="00CC719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סעיף קטן (א) יחול על תובענה שחלים עליה הפרוטוקולים הראשון, השני,</w:t>
                        </w:r>
                      </w:p>
                      <w:p w:rsidR="00CC7198" w:rsidRDefault="00CC719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השלישי או הרביעי - החל מפרסום ההודעה על כניסתו לתוקף של הפרוטוקול הנוגע</w:t>
                        </w:r>
                      </w:p>
                      <w:p w:rsidR="00CC7198" w:rsidRDefault="00CC719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לענין.</w:t>
                        </w:r>
                      </w:p>
                      <w:p w:rsidR="00CC7198" w:rsidRDefault="00CC719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לפני פרסום ההודעה לפי סעיף קטן (ב) רשאי שר התחבורה' בהתייעצות עם</w:t>
                        </w:r>
                      </w:p>
                      <w:p w:rsidR="00CC7198" w:rsidRDefault="00CC719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נגיד בנק ישראל ובאישור ועדת הכספים של הכנסת' לקבוע בצו שבמקום הסכום במטבע חוץ</w:t>
                        </w:r>
                      </w:p>
                      <w:p w:rsidR="00CC7198" w:rsidRDefault="00CC719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הנזכר בסעיף 22 לאמנה יבוא סכום כפי שייקבע באותו צו' המבוטא בזכויות משיכה מיו-</w:t>
                        </w:r>
                      </w:p>
                      <w:p w:rsidR="00CC7198" w:rsidRDefault="00CC719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חדות שמדובר בהן בפרוטוקולים הראשון' השני' השלישי והרביעי; כל עוד לא בוטל או</w:t>
                        </w:r>
                      </w:p>
                      <w:p w:rsidR="00CC7198" w:rsidRDefault="00CC719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תוקן צו כאמור' ימשיך הצו לחול על תובענה לפי חוק זה או התקנות על פיו שסעיף קטן (א)</w:t>
                        </w:r>
                      </w:p>
                      <w:p w:rsidR="00CC7198" w:rsidRDefault="00CC719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אינו חל עליה.</w:t>
                        </w:r>
                      </w:p>
                      <w:p w:rsidR="00CC7198" w:rsidRDefault="00CC719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ניתן צו לפי סעיף קטן (ג)' רשאי בית המשפט' בבואו לפסוק תשלום בתובענה</w:t>
                        </w:r>
                      </w:p>
                      <w:p w:rsidR="00CC7198" w:rsidRDefault="00CC719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זה או התקנות על פיו' לקבוע תחילה את הסכום בזכויות משיכה מיוחדות שבו</w:t>
                        </w:r>
                      </w:p>
                      <w:p w:rsidR="00CC7198" w:rsidRDefault="00CC719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 הנתבע; בפסק דינו או בהחלטה מאוחרת יותר יקבע בית המשפט את החיוב במטבע</w:t>
                        </w:r>
                      </w:p>
                      <w:p w:rsidR="00CC7198" w:rsidRPr="00FE4FD9" w:rsidRDefault="00CC719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ישראלי לפי שער החליפין של זכויות אלה ביום מתן פסק הדין.</w:t>
                        </w:r>
                      </w:p>
                    </w:tc>
                  </w:tr>
                  <w:tr w:rsidR="00CC7198" w:rsidRPr="00FE4FD9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CC7198" w:rsidRDefault="00CC719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 מאחריות</w:t>
                        </w:r>
                      </w:p>
                      <w:p w:rsidR="00CC7198" w:rsidRPr="00FE4FD9" w:rsidRDefault="00CC719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לפי דיניט אחרים</w:t>
                        </w:r>
                      </w:p>
                    </w:tc>
                    <w:tc>
                      <w:tcPr>
                        <w:tcW w:w="4298" w:type="pct"/>
                      </w:tcPr>
                      <w:p w:rsidR="00CC7198" w:rsidRDefault="00CC719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אחריותו של המוביל' עובדיו וסוכניו לפי חוק זה לנזק' לרבות לנזק שנגרם עקב</w:t>
                        </w:r>
                      </w:p>
                      <w:p w:rsidR="00CC7198" w:rsidRDefault="00CC719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מותו של נוסע' תבוא במקום אחריותו לפי כל דין אחר' ולא תישמע כל תביעה לפיצוי על</w:t>
                        </w:r>
                      </w:p>
                      <w:p w:rsidR="00CC7198" w:rsidRDefault="00CC719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נזק שלא על פי חוק זה' תהא עילתה הסכם' עוולה אזרחית או כל עילה אחרת ויהיו</w:t>
                        </w:r>
                      </w:p>
                      <w:p w:rsidR="00CC7198" w:rsidRPr="00FE4FD9" w:rsidRDefault="00CC719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התובעים אשר יהיו.</w:t>
                        </w:r>
                      </w:p>
                    </w:tc>
                  </w:tr>
                  <w:tr w:rsidR="00CC7198" w:rsidRPr="00FE4FD9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CC7198" w:rsidRPr="00FE4FD9" w:rsidRDefault="00CC719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מדינה שהסתייגה</w:t>
                        </w:r>
                      </w:p>
                    </w:tc>
                    <w:tc>
                      <w:tcPr>
                        <w:tcW w:w="4298" w:type="pct"/>
                      </w:tcPr>
                      <w:p w:rsidR="00CC7198" w:rsidRDefault="00CC719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הוראות האמנה לא יחולו על תובלה אוירית המבוצעת בידי מדינה שהצהירה על כך,</w:t>
                        </w:r>
                      </w:p>
                      <w:p w:rsidR="00CC7198" w:rsidRPr="00FE4FD9" w:rsidRDefault="00CC719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מכוח זכותה לפי האמנה.</w:t>
                        </w:r>
                      </w:p>
                    </w:tc>
                  </w:tr>
                  <w:tr w:rsidR="00CC7198" w:rsidRPr="00FE4FD9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CC7198" w:rsidRDefault="00CC719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מסירת הזמנה</w:t>
                        </w:r>
                      </w:p>
                      <w:p w:rsidR="00CC7198" w:rsidRDefault="00CC719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ומסמכים מחוץ</w:t>
                        </w:r>
                      </w:p>
                      <w:p w:rsidR="00CC7198" w:rsidRDefault="00CC719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לתחומי השיפוט</w:t>
                        </w:r>
                      </w:p>
                      <w:p w:rsidR="00CC7198" w:rsidRDefault="00CC719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תביעות בשל נזק</w:t>
                        </w:r>
                      </w:p>
                      <w:p w:rsidR="00CC7198" w:rsidRDefault="00CC719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שנגרם עקב מותו</w:t>
                        </w:r>
                      </w:p>
                      <w:p w:rsidR="00CC7198" w:rsidRPr="00FE4FD9" w:rsidRDefault="00CC719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נוסע</w:t>
                        </w:r>
                      </w:p>
                    </w:tc>
                    <w:tc>
                      <w:tcPr>
                        <w:tcW w:w="4298" w:type="pct"/>
                      </w:tcPr>
                      <w:p w:rsidR="00CC7198" w:rsidRDefault="00CC719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בתובענה שעילתה בתובלה אוירית שחוק זה חל עליה' רשאי בית המשפט להתיר</w:t>
                        </w:r>
                      </w:p>
                      <w:p w:rsidR="00CC7198" w:rsidRDefault="00CC719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שמסירתם של הזמנה לדין ושל מסמכים משפטיים אחרים תהיה בחוץ-לארץ.</w:t>
                        </w:r>
                      </w:p>
                      <w:p w:rsidR="00CC7198" w:rsidRDefault="00CC719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הוגשה תביעה בשל נזק שנגרם עקב מות נוסע/ יוכל בית המשפט הדן בתביעה' בכל</w:t>
                        </w:r>
                      </w:p>
                      <w:p w:rsidR="00CC7198" w:rsidRDefault="00CC719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שלב משלבי ההליכים המשפטיים, לתת כל צו שייראה לו צודק ומועיל בהתחשב -</w:t>
                        </w:r>
                      </w:p>
                      <w:p w:rsidR="00CC7198" w:rsidRDefault="00CC719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בהוראות חוק זה המגבילות את אחריותו של המוביל' עובדיו או סוכניו;</w:t>
                        </w:r>
                      </w:p>
                      <w:p w:rsidR="00CC7198" w:rsidRDefault="00CC719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בזכויותיהם של זכאים אחרים לתבוע דמי נזק כשל מותו של אותו נוסע,</w:t>
                        </w:r>
                      </w:p>
                      <w:p w:rsidR="00CC7198" w:rsidRDefault="00CC719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 בישראל ובין מחוצה לה;</w:t>
                        </w:r>
                      </w:p>
                      <w:p w:rsidR="00CC7198" w:rsidRDefault="00CC719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בתביעות אחרות שהוגשו או עשויות שיוגשו כשל מותו של אותו נוסע</w:t>
                        </w:r>
                      </w:p>
                      <w:p w:rsidR="00CC7198" w:rsidRPr="00FE4FD9" w:rsidRDefault="00CC719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 בישראל ובין מחוצה לה.</w:t>
                        </w:r>
                      </w:p>
                    </w:tc>
                  </w:tr>
                </w:tbl>
                <w:p w:rsidR="00CC7198" w:rsidRDefault="00CC7198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CC7198" w:rsidRDefault="00CC7198">
      <w:pPr>
        <w:rPr>
          <w:rtl/>
        </w:rPr>
      </w:pPr>
      <w:r>
        <w:rPr>
          <w:rtl/>
        </w:rPr>
        <w:br w:type="page"/>
      </w:r>
    </w:p>
    <w:p w:rsidR="00CC7198" w:rsidRDefault="00000000">
      <w:pPr>
        <w:rPr>
          <w:rtl/>
        </w:rPr>
      </w:pPr>
      <w:r>
        <w:pict>
          <v:shape id="_x0000_s28368" o:spid="_x0000_s1036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28368" inset="0,0,0,0">
              <w:txbxContent>
                <w:p w:rsidR="00CC7198" w:rsidRDefault="00CC7198">
                  <w:r>
                    <w:rPr>
                      <w:rtl/>
                    </w:rPr>
                    <w:t>200                                          ספר החוקים 981                     כ"ה באב התש"מ 07.08.1980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28369" o:spid="_x0000_s1037" type="#_x0000_t202" style="position:absolute;left:0;text-align:left;margin-left:92.15pt;margin-top:698.75pt;width:285.9pt;height:33.45pt;z-index:16;mso-position-horizontal-relative:page;mso-position-vertical-relative:page" stroked="f">
            <v:textbox style="mso-next-textbox:#_x0000_s28369" inset="0,0,0,0">
              <w:txbxContent>
                <w:p w:rsidR="00CC7198" w:rsidRDefault="00CC7198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28370" o:spid="_x0000_s1038" type="#_x0000_t202" style="position:absolute;left:0;text-align:left;margin-left:113.75pt;margin-top:368.05pt;width:96.45pt;height:37.8pt;z-index:15;mso-position-horizontal-relative:page;mso-position-vertical-relative:page" stroked="f">
            <v:textbox style="mso-next-textbox:#_x0000_s28370" inset="0,0,0,0">
              <w:txbxContent>
                <w:p w:rsidR="00CC7198" w:rsidRDefault="00CC7198">
                  <w:pPr>
                    <w:pStyle w:val="OCRStyle4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חיים לנדאו</w:t>
                  </w:r>
                </w:p>
                <w:p w:rsidR="00CC7198" w:rsidRDefault="00CC7198">
                  <w:pPr>
                    <w:pStyle w:val="OCRStyle4"/>
                    <w:ind w:left="320"/>
                  </w:pPr>
                  <w:r>
                    <w:rPr>
                      <w:rtl/>
                    </w:rPr>
                    <w:t>שר התחבורה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371" o:spid="_x0000_s1039" type="#_x0000_t202" style="position:absolute;left:0;text-align:left;margin-left:233.35pt;margin-top:369.85pt;width:89.7pt;height:35.25pt;z-index:14;mso-position-horizontal-relative:page;mso-position-vertical-relative:page" stroked="f">
            <v:textbox style="mso-next-textbox:#_x0000_s28371" inset="0,0,0,0">
              <w:txbxContent>
                <w:p w:rsidR="00CC7198" w:rsidRDefault="00CC7198">
                  <w:pPr>
                    <w:pStyle w:val="OCRStyle4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CC7198" w:rsidRDefault="00CC7198">
                  <w:pPr>
                    <w:pStyle w:val="OCRStyle4"/>
                    <w:ind w:left="13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372" o:spid="_x0000_s1040" type="#_x0000_t202" style="position:absolute;left:0;text-align:left;margin-left:327.2pt;margin-top:402.5pt;width:165.35pt;height:63.75pt;z-index:13;mso-position-horizontal-relative:page;mso-position-vertical-relative:page" stroked="f">
            <v:textbox style="mso-next-textbox:#_x0000_s28372" inset="0,0,0,0">
              <w:txbxContent>
                <w:p w:rsidR="00CC7198" w:rsidRDefault="00CC7198">
                  <w:pPr>
                    <w:pStyle w:val="OCRStyle4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CC7198" w:rsidRDefault="00CC7198">
                  <w:pPr>
                    <w:pStyle w:val="OCRStyle4"/>
                    <w:ind w:left="382"/>
                    <w:rPr>
                      <w:rtl/>
                    </w:rPr>
                  </w:pPr>
                  <w:r>
                    <w:rPr>
                      <w:rtl/>
                    </w:rPr>
                    <w:t>נשיא המדינה</w:t>
                  </w:r>
                </w:p>
                <w:p w:rsidR="00CC7198" w:rsidRPr="00CC7198" w:rsidRDefault="00CC7198">
                  <w:pPr>
                    <w:pStyle w:val="OCRStyle4"/>
                    <w:ind w:left="522"/>
                  </w:pPr>
                  <w:r>
                    <w:rPr>
                      <w:rtl/>
                    </w:rPr>
                    <w:t>4 ס"ח תשכ''ב, עמ' 90; תשל"ח, עמ' 88.</w:t>
                  </w:r>
                </w:p>
              </w:txbxContent>
            </v:textbox>
            <w10:wrap anchorx="page" anchory="page"/>
          </v:shape>
        </w:pict>
      </w:r>
      <w:r>
        <w:pict>
          <v:shape id="_x0000_s28373" o:spid="_x0000_s1041" type="#_x0000_t202" style="position:absolute;left:0;text-align:left;margin-left:89.6pt;margin-top:68.5pt;width:471.05pt;height:287.5pt;z-index:12;mso-position-horizontal-relative:page;mso-position-vertical-relative:page" stroked="f">
            <v:textbox style="mso-next-textbox:#_x0000_s28373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17"/>
                    <w:gridCol w:w="1346"/>
                  </w:tblGrid>
                  <w:tr w:rsidR="00CC7198" w:rsidRPr="00CC7198">
                    <w:trPr>
                      <w:jc w:val="right"/>
                    </w:trPr>
                    <w:tc>
                      <w:tcPr>
                        <w:tcW w:w="4214" w:type="pct"/>
                      </w:tcPr>
                      <w:p w:rsidR="00CC7198" w:rsidRDefault="00CC719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היו תובעים אחדים בשל מות נוסע אחד והסכום הכולל של דמי הנזק המגיע לכל</w:t>
                        </w:r>
                      </w:p>
                      <w:p w:rsidR="00CC7198" w:rsidRDefault="00CC719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התובעים האלה עובר את תחום האחריות של המוביל לסי ההוראות האחרות של חוק זה,</w:t>
                        </w:r>
                      </w:p>
                      <w:p w:rsidR="00CC7198" w:rsidRDefault="00CC719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יפסוק בית המשפט לכל אחד מהם, מתוך הסכום הכולל של דמי הנזק המגיעים, סכום בשי-</w:t>
                        </w:r>
                      </w:p>
                      <w:p w:rsidR="00CC7198" w:rsidRDefault="00CC719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עור יחסי לסכום הפיצויים שהיה פוסק לו.</w:t>
                        </w:r>
                      </w:p>
                    </w:tc>
                    <w:tc>
                      <w:tcPr>
                        <w:tcW w:w="786" w:type="pct"/>
                      </w:tcPr>
                      <w:p w:rsidR="00CC7198" w:rsidRDefault="00CC719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נזק העובר החוט</w:t>
                        </w:r>
                      </w:p>
                      <w:p w:rsidR="00CC7198" w:rsidRDefault="00CC719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אחריותו של</w:t>
                        </w:r>
                      </w:p>
                      <w:p w:rsidR="00CC7198" w:rsidRPr="00CC7198" w:rsidRDefault="00CC719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המוביל</w:t>
                        </w:r>
                      </w:p>
                    </w:tc>
                  </w:tr>
                  <w:tr w:rsidR="00CC7198" w:rsidRPr="00CC7198">
                    <w:trPr>
                      <w:jc w:val="right"/>
                    </w:trPr>
                    <w:tc>
                      <w:tcPr>
                        <w:tcW w:w="4214" w:type="pct"/>
                      </w:tcPr>
                      <w:p w:rsidR="00CC7198" w:rsidRDefault="00CC719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על אף האמור בכל דין אחר, תהיה התקופה לפקיעת הזכות לדמי נזק לפי חוק זה</w:t>
                        </w:r>
                      </w:p>
                      <w:p w:rsidR="00CC7198" w:rsidRPr="00CC7198" w:rsidRDefault="00CC719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התקופה הקבועה באמנה.</w:t>
                        </w:r>
                      </w:p>
                    </w:tc>
                    <w:tc>
                      <w:tcPr>
                        <w:tcW w:w="786" w:type="pct"/>
                      </w:tcPr>
                      <w:p w:rsidR="00CC7198" w:rsidRDefault="00CC719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פקיעת הזכות</w:t>
                        </w:r>
                      </w:p>
                      <w:p w:rsidR="00CC7198" w:rsidRPr="00CC7198" w:rsidRDefault="00CC719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לתביעת דמי נזק</w:t>
                        </w:r>
                      </w:p>
                    </w:tc>
                  </w:tr>
                  <w:tr w:rsidR="00CC7198" w:rsidRPr="00CC7198">
                    <w:trPr>
                      <w:jc w:val="right"/>
                    </w:trPr>
                    <w:tc>
                      <w:tcPr>
                        <w:tcW w:w="4214" w:type="pct"/>
                      </w:tcPr>
                      <w:p w:rsidR="00CC7198" w:rsidRDefault="00CC719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הודעת שר התחבורה שתפורסם ברשומות' בדבר המדינות שהן צדדים לאמנה, תשמש</w:t>
                        </w:r>
                      </w:p>
                      <w:p w:rsidR="00CC7198" w:rsidRPr="00CC7198" w:rsidRDefault="00CC719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ראיה לדבר לענין חוק זה.</w:t>
                        </w:r>
                      </w:p>
                    </w:tc>
                    <w:tc>
                      <w:tcPr>
                        <w:tcW w:w="786" w:type="pct"/>
                      </w:tcPr>
                      <w:p w:rsidR="00CC7198" w:rsidRPr="00CC7198" w:rsidRDefault="00CC719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בעלי אמנה</w:t>
                        </w:r>
                      </w:p>
                    </w:tc>
                  </w:tr>
                  <w:tr w:rsidR="00CC7198" w:rsidRPr="00CC7198">
                    <w:trPr>
                      <w:jc w:val="right"/>
                    </w:trPr>
                    <w:tc>
                      <w:tcPr>
                        <w:tcW w:w="4214" w:type="pct"/>
                      </w:tcPr>
                      <w:p w:rsidR="00CC7198" w:rsidRDefault="00CC719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(א) שר התחבורה ממונה על ביצוע חוק זה והוא רשאי להתקין תקנות לביצועו.</w:t>
                        </w:r>
                      </w:p>
                      <w:p w:rsidR="00CC7198" w:rsidRDefault="00CC719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המשפטים רשאי' בהתייעצות עם שר התחבורה' להתקין תקנות בדבר סדרי</w:t>
                        </w:r>
                      </w:p>
                      <w:p w:rsidR="00CC7198" w:rsidRPr="00CC7198" w:rsidRDefault="00CC719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במשפטים בשל נזק בתובלה אוירית שחוק זה חל עליה.</w:t>
                        </w:r>
                      </w:p>
                    </w:tc>
                    <w:tc>
                      <w:tcPr>
                        <w:tcW w:w="786" w:type="pct"/>
                      </w:tcPr>
                      <w:p w:rsidR="00CC7198" w:rsidRPr="00CC7198" w:rsidRDefault="00CC719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</w:tr>
                  <w:tr w:rsidR="00CC7198" w:rsidRPr="00CC7198">
                    <w:trPr>
                      <w:jc w:val="right"/>
                    </w:trPr>
                    <w:tc>
                      <w:tcPr>
                        <w:tcW w:w="4214" w:type="pct"/>
                      </w:tcPr>
                      <w:p w:rsidR="00CC7198" w:rsidRPr="00CC7198" w:rsidRDefault="00CC719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חוק התובלה האוירית' תשכ"ב-1962  4- בטל.</w:t>
                        </w:r>
                      </w:p>
                    </w:tc>
                    <w:tc>
                      <w:tcPr>
                        <w:tcW w:w="786" w:type="pct"/>
                      </w:tcPr>
                      <w:p w:rsidR="00CC7198" w:rsidRPr="00CC7198" w:rsidRDefault="00CC719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</w:t>
                        </w:r>
                      </w:p>
                    </w:tc>
                  </w:tr>
                  <w:tr w:rsidR="00CC7198" w:rsidRPr="00CC7198">
                    <w:trPr>
                      <w:jc w:val="right"/>
                    </w:trPr>
                    <w:tc>
                      <w:tcPr>
                        <w:tcW w:w="4214" w:type="pct"/>
                      </w:tcPr>
                      <w:p w:rsidR="00CC7198" w:rsidRPr="00CC7198" w:rsidRDefault="00CC719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תחילתו של חוק זה ששה חדשים מיום פרסומו ברשומות.</w:t>
                        </w:r>
                      </w:p>
                    </w:tc>
                    <w:tc>
                      <w:tcPr>
                        <w:tcW w:w="786" w:type="pct"/>
                      </w:tcPr>
                      <w:p w:rsidR="00CC7198" w:rsidRPr="00CC7198" w:rsidRDefault="00CC719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  <w:tr w:rsidR="00CC7198" w:rsidRPr="00CC7198">
                    <w:trPr>
                      <w:jc w:val="right"/>
                    </w:trPr>
                    <w:tc>
                      <w:tcPr>
                        <w:tcW w:w="4214" w:type="pct"/>
                      </w:tcPr>
                      <w:p w:rsidR="00CC7198" w:rsidRPr="00CC7198" w:rsidRDefault="00CC719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חוק זה יפורסם תוך שלושים ימים מיום קבלתו בכנסת.</w:t>
                        </w:r>
                      </w:p>
                    </w:tc>
                    <w:tc>
                      <w:tcPr>
                        <w:tcW w:w="786" w:type="pct"/>
                      </w:tcPr>
                      <w:p w:rsidR="00CC7198" w:rsidRPr="00CC7198" w:rsidRDefault="00CC719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</w:t>
                        </w:r>
                      </w:p>
                    </w:tc>
                  </w:tr>
                </w:tbl>
                <w:p w:rsidR="00CC7198" w:rsidRDefault="00CC7198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E2ED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E2ED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9735C34-AAD5-4585-A184-65DD86CC9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E2ED0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000876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FE4FD9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CC7198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25</Characters>
  <Application>Microsoft Office Word</Application>
  <DocSecurity>4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5</cp:revision>
  <dcterms:created xsi:type="dcterms:W3CDTF">2008-04-07T00:19:00Z</dcterms:created>
  <dcterms:modified xsi:type="dcterms:W3CDTF">2008-04-07T00:20:00Z</dcterms:modified>
</cp:coreProperties>
</file>