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71E7E" w:rsidRDefault="00671E7E">
      <w:pPr>
        <w:rPr>
          <w:rtl/>
        </w:rPr>
      </w:pPr>
    </w:p>
    <w:p w:rsidR="00671E7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52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8523" inset="0,0,0,0">
              <w:txbxContent>
                <w:p w:rsidR="00671E7E" w:rsidRDefault="00671E7E">
                  <w:r>
                    <w:rPr>
                      <w:rtl/>
                    </w:rPr>
                    <w:t>48                                           ספר החוקים 140                   כ"ה בטבת התשי"ד 31.12.1953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28524" o:spid="_x0000_s1026" type="#_x0000_t202" style="position:absolute;left:0;text-align:left;margin-left:77.2pt;margin-top:731.65pt;width:398pt;height:68.7pt;z-index:6;mso-position-horizontal-relative:page;mso-position-vertical-relative:page" stroked="f">
            <v:textbox style="mso-next-textbox:#_x0000_s28524" inset="0,0,0,0">
              <w:txbxContent>
                <w:p w:rsidR="00671E7E" w:rsidRDefault="00671E7E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כ"ד בטבת תשי"ד (30 בדצמבר 1953) הצעת החוק ודברי הסבר נתפרסמי</w:t>
                  </w:r>
                </w:p>
                <w:p w:rsidR="00671E7E" w:rsidRDefault="00671E7E">
                  <w:pPr>
                    <w:pStyle w:val="OCRStyle1"/>
                    <w:ind w:left="44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182, תשי"ד, עמ'24</w:t>
                  </w:r>
                </w:p>
                <w:p w:rsidR="00671E7E" w:rsidRPr="00671E7E" w:rsidRDefault="00671E7E">
                  <w:pPr>
                    <w:pStyle w:val="OCRStyle1"/>
                    <w:ind w:left="24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17, תש 'ט, עמ' 136; ס"ח 57 תש"י, עט' 280, ס"ח 114, תשי'ג עט' 23</w:t>
                  </w:r>
                </w:p>
              </w:txbxContent>
            </v:textbox>
            <w10:wrap anchorx="page" anchory="page"/>
          </v:shape>
        </w:pict>
      </w:r>
      <w:r>
        <w:pict>
          <v:shape id="_x0000_s28525" o:spid="_x0000_s1027" type="#_x0000_t202" style="position:absolute;left:0;text-align:left;margin-left:87.3pt;margin-top:653.85pt;width:123.15pt;height:39.4pt;z-index:5;mso-position-horizontal-relative:page;mso-position-vertical-relative:page" stroked="f">
            <v:textbox style="mso-next-textbox:#_x0000_s28525" inset="0,0,0,0">
              <w:txbxContent>
                <w:p w:rsidR="00671E7E" w:rsidRDefault="00671E7E">
                  <w:pPr>
                    <w:pStyle w:val="OCRStyle1"/>
                    <w:ind w:left="526"/>
                    <w:rPr>
                      <w:rtl/>
                    </w:rPr>
                  </w:pPr>
                  <w:r>
                    <w:rPr>
                      <w:rtl/>
                    </w:rPr>
                    <w:t>פנחס לבון</w:t>
                  </w:r>
                </w:p>
                <w:p w:rsidR="00671E7E" w:rsidRDefault="00671E7E">
                  <w:pPr>
                    <w:pStyle w:val="OCRStyle1"/>
                    <w:ind w:left="144"/>
                  </w:pPr>
                  <w:r>
                    <w:rPr>
                      <w:rtl/>
                    </w:rPr>
                    <w:t>ממלא-מקום 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8526" o:spid="_x0000_s1028" type="#_x0000_t202" style="position:absolute;left:0;text-align:left;margin-left:233.8pt;margin-top:656.85pt;width:140.4pt;height:45.55pt;z-index:4;mso-position-horizontal-relative:page;mso-position-vertical-relative:page" stroked="f">
            <v:textbox style="mso-next-textbox:#_x0000_s28526" inset="0,0,0,0">
              <w:txbxContent>
                <w:p w:rsidR="00671E7E" w:rsidRDefault="00671E7E">
                  <w:pPr>
                    <w:pStyle w:val="OCRStyle1"/>
                    <w:ind w:left="781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671E7E" w:rsidRDefault="00671E7E">
                  <w:pPr>
                    <w:pStyle w:val="OCRStyle1"/>
                    <w:ind w:left="968"/>
                    <w:rPr>
                      <w:rtl/>
                    </w:rPr>
                  </w:pPr>
                  <w:r>
                    <w:rPr>
                      <w:rtl/>
                    </w:rPr>
                    <w:t>שר החוץ</w:t>
                  </w:r>
                </w:p>
                <w:p w:rsidR="00671E7E" w:rsidRDefault="00671E7E">
                  <w:pPr>
                    <w:pStyle w:val="OCRStyle1"/>
                    <w:ind w:left="263"/>
                  </w:pPr>
                  <w:r>
                    <w:rPr>
                      <w:rtl/>
                    </w:rPr>
                    <w:t>ממלא-מקום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527" o:spid="_x0000_s1029" type="#_x0000_t202" style="position:absolute;left:0;text-align:left;margin-left:377.15pt;margin-top:696.25pt;width:123.35pt;height:34.45pt;z-index:3;mso-position-horizontal-relative:page;mso-position-vertical-relative:page" stroked="f">
            <v:textbox style="mso-next-textbox:#_x0000_s28527" inset="0,0,0,0">
              <w:txbxContent>
                <w:p w:rsidR="00671E7E" w:rsidRDefault="00671E7E">
                  <w:pPr>
                    <w:pStyle w:val="OCRStyle1"/>
                    <w:ind w:left="659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671E7E" w:rsidRDefault="00671E7E">
                  <w:pPr>
                    <w:pStyle w:val="OCRStyle1"/>
                    <w:ind w:left="90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528" o:spid="_x0000_s1030" type="#_x0000_t202" style="position:absolute;left:0;text-align:left;margin-left:73.05pt;margin-top:584.15pt;width:492.05pt;height:69.7pt;z-index:2;mso-position-horizontal-relative:page;mso-position-vertical-relative:page" stroked="f">
            <v:textbox style="mso-next-textbox:#_x0000_s28528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09"/>
                    <w:gridCol w:w="1337"/>
                  </w:tblGrid>
                  <w:tr w:rsidR="00671E7E" w:rsidRPr="00671E7E">
                    <w:trPr>
                      <w:jc w:val="right"/>
                    </w:trPr>
                    <w:tc>
                      <w:tcPr>
                        <w:tcW w:w="4253" w:type="pct"/>
                      </w:tcPr>
                      <w:p w:rsidR="00671E7E" w:rsidRDefault="00671E7E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תקפן של תקנות-שעת-חירום (אזורי בטחון), תש"ט-1949 1,מוארך בזה עד יום</w:t>
                        </w:r>
                      </w:p>
                      <w:p w:rsidR="00671E7E" w:rsidRPr="00671E7E" w:rsidRDefault="00671E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ו' בטבת תשט"ו (31 בדצמבר 1954).</w:t>
                        </w:r>
                      </w:p>
                    </w:tc>
                    <w:tc>
                      <w:tcPr>
                        <w:tcW w:w="747" w:type="pct"/>
                      </w:tcPr>
                      <w:p w:rsidR="00671E7E" w:rsidRPr="00671E7E" w:rsidRDefault="00671E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תיקף</w:t>
                        </w:r>
                      </w:p>
                    </w:tc>
                  </w:tr>
                  <w:tr w:rsidR="00671E7E" w:rsidRPr="00671E7E">
                    <w:trPr>
                      <w:jc w:val="right"/>
                    </w:trPr>
                    <w:tc>
                      <w:tcPr>
                        <w:tcW w:w="4253" w:type="pct"/>
                      </w:tcPr>
                      <w:p w:rsidR="00671E7E" w:rsidRPr="00671E7E" w:rsidRDefault="00671E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שר הבטחון רשאי, בכל עת, לבטל את התקנות האמורות על ידי צו שיפורסם ברשומות.</w:t>
                        </w:r>
                      </w:p>
                    </w:tc>
                    <w:tc>
                      <w:tcPr>
                        <w:tcW w:w="747" w:type="pct"/>
                      </w:tcPr>
                      <w:p w:rsidR="00671E7E" w:rsidRPr="00671E7E" w:rsidRDefault="00671E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ביטויי</w:t>
                        </w:r>
                      </w:p>
                    </w:tc>
                  </w:tr>
                  <w:tr w:rsidR="00671E7E" w:rsidRPr="00671E7E">
                    <w:trPr>
                      <w:jc w:val="right"/>
                    </w:trPr>
                    <w:tc>
                      <w:tcPr>
                        <w:tcW w:w="4253" w:type="pct"/>
                      </w:tcPr>
                      <w:p w:rsidR="00671E7E" w:rsidRPr="00671E7E" w:rsidRDefault="00671E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תקפו של חוק זה הוא מיום כ"ה בטבת תשי"ד (31 בדצמבר 1953).</w:t>
                        </w:r>
                      </w:p>
                    </w:tc>
                    <w:tc>
                      <w:tcPr>
                        <w:tcW w:w="747" w:type="pct"/>
                      </w:tcPr>
                      <w:p w:rsidR="00671E7E" w:rsidRPr="00671E7E" w:rsidRDefault="00671E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תוקר</w:t>
                        </w:r>
                      </w:p>
                    </w:tc>
                  </w:tr>
                </w:tbl>
                <w:p w:rsidR="00671E7E" w:rsidRDefault="00671E7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529" o:spid="_x0000_s1031" type="#_x0000_t202" style="position:absolute;left:0;text-align:left;margin-left:136.8pt;margin-top:543.75pt;width:284.9pt;height:35.45pt;z-index:1;mso-position-horizontal-relative:page;mso-position-vertical-relative:page" stroked="f">
            <v:textbox style="mso-next-textbox:#_x0000_s28529" inset="0,0,0,0">
              <w:txbxContent>
                <w:p w:rsidR="00671E7E" w:rsidRDefault="00671E7E">
                  <w:pPr>
                    <w:pStyle w:val="OCRStyle1"/>
                    <w:ind w:left="338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להארכת תוקף של תקנות-שעת-חירום</w:t>
                  </w:r>
                </w:p>
                <w:p w:rsidR="00671E7E" w:rsidRPr="00671E7E" w:rsidRDefault="00671E7E">
                  <w:pPr>
                    <w:pStyle w:val="OCRStyle1"/>
                    <w:ind w:left="882"/>
                    <w:rPr>
                      <w:sz w:val="28"/>
                      <w:szCs w:val="28"/>
                    </w:rPr>
                  </w:pPr>
                  <w:r>
                    <w:rPr>
                      <w:rtl/>
                    </w:rPr>
                    <w:t>(אזורי בטחון), תשי"ד-1953*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71E7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71E7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590A7CA-4E77-44E4-81CD-C871F0751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71E7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2008-04-06T18:39:00Z</dcterms:created>
  <dcterms:modified xsi:type="dcterms:W3CDTF">2008-04-06T18:39:00Z</dcterms:modified>
</cp:coreProperties>
</file>