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351254" w:rsidRDefault="00351254">
      <w:pPr>
        <w:rPr>
          <w:rtl/>
        </w:rPr>
      </w:pPr>
    </w:p>
    <w:p w:rsidR="00351254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28567" o:spid="_x0000_s1025" type="#_x0000_t202" style="position:absolute;left:0;text-align:left;margin-left:50pt;margin-top:771.95pt;width:495.35pt;height:30pt;z-index:4;mso-position-horizontal-relative:page;mso-position-vertical-relative:page" stroked="f">
            <v:textbox style="mso-next-textbox:#_x0000_s28567" inset="0,0,0,0">
              <w:txbxContent>
                <w:p w:rsidR="00FC52EA" w:rsidRDefault="00FC52EA">
                  <w:r>
                    <w:rPr>
                      <w:rtl/>
                    </w:rPr>
                    <w:t>136                                          ספר החוקים 17                       ח' באב התש"ט 03.08.1949</w:t>
                  </w:r>
                </w:p>
              </w:txbxContent>
            </v:textbox>
            <w10:wrap anchorx="page" anchory="page"/>
          </v:shape>
        </w:pict>
      </w:r>
      <w:r>
        <w:pict>
          <v:shape id="_x0000_s28568" o:spid="_x0000_s1026" type="#_x0000_t202" style="position:absolute;left:0;text-align:left;margin-left:93.6pt;margin-top:726.4pt;width:189.3pt;height:35.45pt;z-index:3;mso-position-horizontal-relative:page;mso-position-vertical-relative:page" stroked="f">
            <v:textbox style="mso-next-textbox:#_x0000_s28568" inset="0,0,0,0">
              <w:txbxContent>
                <w:p w:rsidR="00FC52EA" w:rsidRDefault="00FC52EA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28569" o:spid="_x0000_s1027" type="#_x0000_t202" style="position:absolute;left:0;text-align:left;margin-left:148.25pt;margin-top:675.7pt;width:341.35pt;height:44.35pt;z-index:2;mso-position-horizontal-relative:page;mso-position-vertical-relative:page" stroked="f">
            <v:textbox style="mso-next-textbox:#_x0000_s28569" inset="0,0,0,0">
              <w:txbxContent>
                <w:p w:rsidR="00FC52EA" w:rsidRDefault="00FC52EA">
                  <w:pPr>
                    <w:pStyle w:val="OCRStyle1"/>
                    <w:ind w:left="245"/>
                    <w:rPr>
                      <w:rtl/>
                    </w:rPr>
                  </w:pPr>
                  <w:r>
                    <w:rPr>
                      <w:rtl/>
                    </w:rPr>
                    <w:t>. הצעת החוק נתפרסמה בהצעות חולו 13 מיום כ"ז בסיון חש"ט (24.6.49), עמ' 146.</w:t>
                  </w:r>
                </w:p>
                <w:p w:rsidR="00FC52EA" w:rsidRPr="00351254" w:rsidRDefault="00FC52EA">
                  <w:pPr>
                    <w:pStyle w:val="OCRStyle1"/>
                    <w:ind w:left="277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1 קובץ התקנות 11 מיום כ"ח בניסן תש"ט (27.4.49), עמוד 169.</w:t>
                  </w:r>
                </w:p>
              </w:txbxContent>
            </v:textbox>
            <w10:wrap anchorx="page" anchory="page"/>
          </v:shape>
        </w:pict>
      </w:r>
      <w:r>
        <w:pict>
          <v:shape id="_x0000_s28570" o:spid="_x0000_s1028" type="#_x0000_t202" style="position:absolute;left:0;text-align:left;margin-left:110.25pt;margin-top:496.7pt;width:400.95pt;height:170.1pt;z-index:1;mso-position-horizontal-relative:page;mso-position-vertical-relative:page" stroked="f">
            <v:textbox style="mso-next-textbox:#_x0000_s28570" inset="0,0,0,0">
              <w:txbxContent>
                <w:p w:rsidR="00FC52EA" w:rsidRDefault="00FC52EA">
                  <w:pPr>
                    <w:pStyle w:val="OCRStyle1"/>
                    <w:ind w:left="270"/>
                    <w:rPr>
                      <w:sz w:val="26"/>
                      <w:szCs w:val="26"/>
                      <w:rtl/>
                    </w:rPr>
                  </w:pPr>
                  <w:r>
                    <w:rPr>
                      <w:sz w:val="26"/>
                      <w:szCs w:val="26"/>
                      <w:rtl/>
                    </w:rPr>
                    <w:t>חוק להארכת תוקף של תקנות-שעת-חירום (אזורי בטחון) (מס' 2),</w:t>
                  </w:r>
                </w:p>
                <w:p w:rsidR="00FC52EA" w:rsidRDefault="00FC52EA">
                  <w:pPr>
                    <w:pStyle w:val="OCRStyle1"/>
                    <w:ind w:left="2779"/>
                    <w:rPr>
                      <w:sz w:val="26"/>
                      <w:szCs w:val="26"/>
                      <w:rtl/>
                    </w:rPr>
                  </w:pPr>
                  <w:r>
                    <w:rPr>
                      <w:sz w:val="26"/>
                      <w:szCs w:val="26"/>
                      <w:rtl/>
                    </w:rPr>
                    <w:t>תש"ט - 1949 *</w:t>
                  </w:r>
                </w:p>
                <w:p w:rsidR="00FC52EA" w:rsidRDefault="00FC52EA">
                  <w:pPr>
                    <w:pStyle w:val="OCRStyle1"/>
                    <w:ind w:left="295"/>
                    <w:rPr>
                      <w:sz w:val="26"/>
                      <w:szCs w:val="26"/>
                      <w:rtl/>
                    </w:rPr>
                  </w:pPr>
                  <w:r>
                    <w:rPr>
                      <w:sz w:val="26"/>
                      <w:szCs w:val="26"/>
                      <w:rtl/>
                    </w:rPr>
                    <w:t>1. הארכת תוקף.</w:t>
                  </w:r>
                </w:p>
                <w:p w:rsidR="00FC52EA" w:rsidRDefault="00FC52EA">
                  <w:pPr>
                    <w:pStyle w:val="OCRStyle1"/>
                    <w:ind w:left="648"/>
                    <w:rPr>
                      <w:rtl/>
                    </w:rPr>
                  </w:pPr>
                  <w:r>
                    <w:rPr>
                      <w:rtl/>
                    </w:rPr>
                    <w:t>תקפן של תקנות-שעת-חירום (אזורי בטחון), תש"ט - 1949 1, בנוסח המתוקן</w:t>
                  </w:r>
                </w:p>
                <w:p w:rsidR="00FC52EA" w:rsidRDefault="00FC52EA">
                  <w:pPr>
                    <w:pStyle w:val="OCRStyle1"/>
                    <w:ind w:left="274"/>
                    <w:rPr>
                      <w:rtl/>
                    </w:rPr>
                  </w:pPr>
                  <w:r>
                    <w:rPr>
                      <w:rtl/>
                    </w:rPr>
                    <w:t>הניתן בתוספת לחוק זה, מוארך בזה עד יום י"ז באב תש"י (31 ביולי 1950).</w:t>
                  </w:r>
                </w:p>
                <w:p w:rsidR="00FC52EA" w:rsidRDefault="00FC52EA">
                  <w:pPr>
                    <w:pStyle w:val="OCRStyle1"/>
                    <w:ind w:left="274"/>
                    <w:rPr>
                      <w:rtl/>
                    </w:rPr>
                  </w:pPr>
                  <w:r>
                    <w:rPr>
                      <w:rtl/>
                    </w:rPr>
                    <w:t>2. שמירת תוקף.</w:t>
                  </w:r>
                </w:p>
                <w:p w:rsidR="00FC52EA" w:rsidRDefault="00FC52EA">
                  <w:pPr>
                    <w:pStyle w:val="OCRStyle1"/>
                    <w:ind w:left="670"/>
                    <w:rPr>
                      <w:rtl/>
                    </w:rPr>
                  </w:pPr>
                  <w:r>
                    <w:rPr>
                      <w:rtl/>
                    </w:rPr>
                    <w:t>תיקון הנוסח של התקנות האמורות אינו פוגע בכל צו, מינוי או פעולה אחרת</w:t>
                  </w:r>
                </w:p>
                <w:p w:rsidR="00FC52EA" w:rsidRPr="00351254" w:rsidRDefault="00FC52EA">
                  <w:pPr>
                    <w:pStyle w:val="OCRStyle1"/>
                    <w:ind w:left="281"/>
                  </w:pPr>
                  <w:r>
                    <w:rPr>
                      <w:rtl/>
                    </w:rPr>
                    <w:t>שנעשו לפיהן לפני היכנס חוק זה לתקפו.</w:t>
                  </w:r>
                </w:p>
              </w:txbxContent>
            </v:textbox>
            <w10:wrap anchorx="page" anchory="page"/>
          </v:shape>
        </w:pict>
      </w:r>
    </w:p>
    <w:p w:rsidR="008416E1" w:rsidRDefault="008416E1">
      <w:pPr>
        <w:rPr>
          <w:rtl/>
        </w:rPr>
      </w:pPr>
      <w:r>
        <w:rPr>
          <w:rtl/>
        </w:rPr>
        <w:br w:type="page"/>
      </w:r>
    </w:p>
    <w:p w:rsidR="008416E1" w:rsidRDefault="00000000">
      <w:pPr>
        <w:rPr>
          <w:rtl/>
        </w:rPr>
      </w:pPr>
      <w:r>
        <w:pict>
          <v:shape id="_x0000_s28571" o:spid="_x0000_s1029" type="#_x0000_t202" style="position:absolute;left:0;text-align:left;margin-left:50pt;margin-top:771.95pt;width:495.35pt;height:30pt;z-index:9;mso-position-horizontal-relative:page;mso-position-vertical-relative:page" stroked="f">
            <v:textbox style="mso-next-textbox:#_x0000_s28571" inset="0,0,0,0">
              <w:txbxContent>
                <w:p w:rsidR="00FC52EA" w:rsidRDefault="00FC52EA">
                  <w:r>
                    <w:rPr>
                      <w:rtl/>
                    </w:rPr>
                    <w:t>137                                          ספר החוקים 17                       ח' באב התש"ט 03.08.1949</w:t>
                  </w:r>
                </w:p>
              </w:txbxContent>
            </v:textbox>
            <w10:wrap anchorx="page" anchory="page"/>
          </v:shape>
        </w:pict>
      </w:r>
      <w:r>
        <w:pict>
          <v:shape id="_x0000_s28572" o:spid="_x0000_s1030" type="#_x0000_t202" style="position:absolute;left:0;text-align:left;margin-left:335pt;margin-top:722.9pt;width:205.7pt;height:24.15pt;z-index:8;mso-position-horizontal-relative:page;mso-position-vertical-relative:page" stroked="f">
            <v:textbox style="mso-next-textbox:#_x0000_s28572" inset="0,0,0,0">
              <w:txbxContent>
                <w:p w:rsidR="00FC52EA" w:rsidRDefault="00FC52EA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  <w:r>
        <w:pict>
          <v:shape id="_x0000_s28573" o:spid="_x0000_s1031" type="#_x0000_t202" style="position:absolute;left:0;text-align:left;margin-left:122.95pt;margin-top:269.5pt;width:385.9pt;height:431.65pt;z-index:7;mso-position-horizontal-relative:page;mso-position-vertical-relative:page" stroked="f">
            <v:textbox style="mso-next-textbox:#_x0000_s28573" inset="0,0,0,0">
              <w:txbxContent>
                <w:p w:rsidR="00FC52EA" w:rsidRDefault="00FC52EA">
                  <w:pPr>
                    <w:pStyle w:val="OCRStyle2"/>
                    <w:ind w:left="220"/>
                    <w:rPr>
                      <w:rtl/>
                    </w:rPr>
                  </w:pPr>
                  <w:r>
                    <w:rPr>
                      <w:rtl/>
                    </w:rPr>
                    <w:t>1 .שטח מוגן.</w:t>
                  </w:r>
                </w:p>
                <w:p w:rsidR="00FC52EA" w:rsidRDefault="00FC52EA">
                  <w:pPr>
                    <w:pStyle w:val="OCRStyle2"/>
                    <w:ind w:left="583"/>
                    <w:rPr>
                      <w:rtl/>
                    </w:rPr>
                  </w:pPr>
                  <w:r>
                    <w:rPr>
                      <w:rtl/>
                    </w:rPr>
                    <w:t>(א) רצועת אדמה בתוך שטח ישראל ברוחב הניתן להלן מכל נקודה שעל קו</w:t>
                  </w:r>
                </w:p>
                <w:p w:rsidR="00FC52EA" w:rsidRDefault="00FC52EA">
                  <w:pPr>
                    <w:pStyle w:val="OCRStyle2"/>
                    <w:ind w:left="202"/>
                    <w:rPr>
                      <w:rtl/>
                    </w:rPr>
                  </w:pPr>
                  <w:r>
                    <w:rPr>
                      <w:rtl/>
                    </w:rPr>
                    <w:t>גבול שטח ישראל, ולכל אורך קו הגבול, היא שטח מוגן לצורך תקנות אלה:</w:t>
                  </w:r>
                </w:p>
                <w:p w:rsidR="00FC52EA" w:rsidRDefault="00FC52EA">
                  <w:pPr>
                    <w:pStyle w:val="OCRStyle2"/>
                    <w:ind w:left="965"/>
                    <w:rPr>
                      <w:rtl/>
                    </w:rPr>
                  </w:pPr>
                  <w:r>
                    <w:rPr>
                      <w:rtl/>
                    </w:rPr>
                    <w:t>(1) צפונה מקו-הרוחב של 31 - רצועה ברוחב של עשרה קילומטר ;</w:t>
                  </w:r>
                </w:p>
                <w:p w:rsidR="00FC52EA" w:rsidRDefault="00FC52EA">
                  <w:pPr>
                    <w:pStyle w:val="OCRStyle2"/>
                    <w:ind w:left="961"/>
                    <w:rPr>
                      <w:rtl/>
                    </w:rPr>
                  </w:pPr>
                  <w:r>
                    <w:rPr>
                      <w:rtl/>
                    </w:rPr>
                    <w:t>(2) דרומה מקו-הרוחב של 31 - רצועה ברוחב של עשרים וחמשה</w:t>
                  </w:r>
                </w:p>
                <w:p w:rsidR="00FC52EA" w:rsidRDefault="00FC52EA">
                  <w:pPr>
                    <w:pStyle w:val="OCRStyle2"/>
                    <w:ind w:left="965"/>
                    <w:rPr>
                      <w:rtl/>
                    </w:rPr>
                  </w:pPr>
                  <w:r>
                    <w:rPr>
                      <w:rtl/>
                    </w:rPr>
                    <w:t>קילומטר.</w:t>
                  </w:r>
                </w:p>
                <w:p w:rsidR="00FC52EA" w:rsidRDefault="00FC52EA">
                  <w:pPr>
                    <w:pStyle w:val="OCRStyle2"/>
                    <w:ind w:left="587"/>
                    <w:rPr>
                      <w:rtl/>
                    </w:rPr>
                  </w:pPr>
                  <w:r>
                    <w:rPr>
                      <w:rtl/>
                    </w:rPr>
                    <w:t>(כ) "שטח ישראל" פירושו, בתקנה זו, השטח שבו חל משפט מדינת ישראל.</w:t>
                  </w:r>
                </w:p>
                <w:p w:rsidR="00FC52EA" w:rsidRDefault="00FC52EA">
                  <w:pPr>
                    <w:pStyle w:val="OCRStyle2"/>
                    <w:ind w:left="205"/>
                    <w:rPr>
                      <w:rtl/>
                    </w:rPr>
                  </w:pPr>
                  <w:r>
                    <w:rPr>
                      <w:rtl/>
                    </w:rPr>
                    <w:t>2* אזורי בטחון.</w:t>
                  </w:r>
                </w:p>
                <w:p w:rsidR="00FC52EA" w:rsidRDefault="00FC52EA">
                  <w:pPr>
                    <w:pStyle w:val="OCRStyle2"/>
                    <w:ind w:left="572"/>
                    <w:rPr>
                      <w:rtl/>
                    </w:rPr>
                  </w:pPr>
                  <w:r>
                    <w:rPr>
                      <w:rtl/>
                    </w:rPr>
                    <w:t>שר הבטחון רשאי מזמן לזמן, בצו בחתימת ידו שיפורסם ברשומות, להכריז</w:t>
                  </w:r>
                </w:p>
                <w:p w:rsidR="00FC52EA" w:rsidRDefault="00FC52EA">
                  <w:pPr>
                    <w:pStyle w:val="OCRStyle2"/>
                    <w:ind w:left="202"/>
                    <w:rPr>
                      <w:rtl/>
                    </w:rPr>
                  </w:pPr>
                  <w:r>
                    <w:rPr>
                      <w:rtl/>
                    </w:rPr>
                    <w:t>שהשטח המוגן, או כל חלק ממנו, יהיה אזור בטחון לצורך תקנות אלה.</w:t>
                  </w:r>
                </w:p>
                <w:p w:rsidR="00FC52EA" w:rsidRDefault="00FC52EA">
                  <w:pPr>
                    <w:pStyle w:val="OCRStyle2"/>
                    <w:ind w:left="202"/>
                    <w:rPr>
                      <w:rtl/>
                    </w:rPr>
                  </w:pPr>
                  <w:r>
                    <w:rPr>
                      <w:rtl/>
                    </w:rPr>
                    <w:t>3. תושבים קבועים.</w:t>
                  </w:r>
                </w:p>
                <w:p w:rsidR="00FC52EA" w:rsidRDefault="00FC52EA">
                  <w:pPr>
                    <w:pStyle w:val="OCRStyle2"/>
                    <w:ind w:left="598"/>
                    <w:rPr>
                      <w:rtl/>
                    </w:rPr>
                  </w:pPr>
                  <w:r>
                    <w:rPr>
                      <w:rtl/>
                    </w:rPr>
                    <w:t>תושב קבוע של אזור בטחון הוא, לצורך תקנות אלה, אדם אשר ביום שבו היה</w:t>
                  </w:r>
                </w:p>
                <w:p w:rsidR="00FC52EA" w:rsidRDefault="00FC52EA">
                  <w:pPr>
                    <w:pStyle w:val="OCRStyle2"/>
                    <w:ind w:left="209"/>
                    <w:rPr>
                      <w:rtl/>
                    </w:rPr>
                  </w:pPr>
                  <w:r>
                    <w:rPr>
                      <w:rtl/>
                    </w:rPr>
                    <w:t>אזור מסויים לאזור הבטחון, בתוקף אכרזה לפי תקנה 2, ישב באותו אזור ישיבת</w:t>
                  </w:r>
                </w:p>
                <w:p w:rsidR="00FC52EA" w:rsidRDefault="00FC52EA">
                  <w:pPr>
                    <w:pStyle w:val="OCRStyle2"/>
                    <w:ind w:left="198"/>
                    <w:rPr>
                      <w:rtl/>
                    </w:rPr>
                  </w:pPr>
                  <w:r>
                    <w:rPr>
                      <w:rtl/>
                    </w:rPr>
                    <w:t>קבע.</w:t>
                  </w:r>
                </w:p>
                <w:p w:rsidR="00FC52EA" w:rsidRDefault="00FC52EA">
                  <w:pPr>
                    <w:pStyle w:val="OCRStyle2"/>
                    <w:ind w:left="209"/>
                    <w:rPr>
                      <w:rtl/>
                    </w:rPr>
                  </w:pPr>
                  <w:r>
                    <w:rPr>
                      <w:rtl/>
                    </w:rPr>
                    <w:t>4. רשויות מוסמכות.</w:t>
                  </w:r>
                </w:p>
                <w:p w:rsidR="00FC52EA" w:rsidRDefault="00FC52EA">
                  <w:pPr>
                    <w:pStyle w:val="OCRStyle2"/>
                    <w:ind w:left="576"/>
                    <w:rPr>
                      <w:rtl/>
                    </w:rPr>
                  </w:pPr>
                  <w:r>
                    <w:rPr>
                      <w:rtl/>
                    </w:rPr>
                    <w:t>שר הבטחון רשאי למנות כל קצין צבא-הגנה לישראל בדרגת סגן-אלוף או</w:t>
                  </w:r>
                </w:p>
                <w:p w:rsidR="00FC52EA" w:rsidRDefault="00FC52EA">
                  <w:pPr>
                    <w:pStyle w:val="OCRStyle2"/>
                    <w:ind w:left="223"/>
                    <w:rPr>
                      <w:rtl/>
                    </w:rPr>
                  </w:pPr>
                  <w:r>
                    <w:rPr>
                      <w:rtl/>
                    </w:rPr>
                    <w:t>בדרגה גבוהה מזו להיות רשות מוסמכת לצורך תקנות אלה.</w:t>
                  </w:r>
                </w:p>
                <w:p w:rsidR="00FC52EA" w:rsidRDefault="00FC52EA">
                  <w:pPr>
                    <w:pStyle w:val="OCRStyle2"/>
                    <w:ind w:left="198"/>
                    <w:rPr>
                      <w:rtl/>
                    </w:rPr>
                  </w:pPr>
                  <w:r>
                    <w:rPr>
                      <w:rtl/>
                    </w:rPr>
                    <w:t>5. ועדה מייעצת.</w:t>
                  </w:r>
                </w:p>
                <w:p w:rsidR="00FC52EA" w:rsidRDefault="00FC52EA">
                  <w:pPr>
                    <w:pStyle w:val="OCRStyle2"/>
                    <w:ind w:left="598"/>
                    <w:rPr>
                      <w:rtl/>
                    </w:rPr>
                  </w:pPr>
                  <w:r>
                    <w:rPr>
                      <w:rtl/>
                    </w:rPr>
                    <w:t>(א) שר הבטחון ימנה לגבי כל אזור בטחון ועדה מייעצת של שלושה חברים או</w:t>
                  </w:r>
                </w:p>
                <w:p w:rsidR="00FC52EA" w:rsidRPr="008416E1" w:rsidRDefault="00FC52EA">
                  <w:pPr>
                    <w:pStyle w:val="OCRStyle2"/>
                    <w:ind w:left="216"/>
                  </w:pPr>
                  <w:r>
                    <w:rPr>
                      <w:rtl/>
                    </w:rPr>
                    <w:t>יותר, שתייעץ לרשות המוסמכת בנוגע לשימוש בסמכויותיה לפי תקנה 8.</w:t>
                  </w:r>
                </w:p>
              </w:txbxContent>
            </v:textbox>
            <w10:wrap anchorx="page" anchory="page"/>
          </v:shape>
        </w:pict>
      </w:r>
      <w:r>
        <w:pict>
          <v:shape id="_x0000_s28574" o:spid="_x0000_s1032" type="#_x0000_t202" style="position:absolute;left:0;text-align:left;margin-left:192.05pt;margin-top:227.3pt;width:245.3pt;height:42pt;z-index:6;mso-position-horizontal-relative:page;mso-position-vertical-relative:page" stroked="f">
            <v:textbox style="mso-next-textbox:#_x0000_s28574" inset="0,0,0,0">
              <w:txbxContent>
                <w:p w:rsidR="00FC52EA" w:rsidRDefault="00FC52EA">
                  <w:pPr>
                    <w:pStyle w:val="OCRStyle2"/>
                    <w:ind w:left="1789"/>
                    <w:rPr>
                      <w:rtl/>
                    </w:rPr>
                  </w:pPr>
                  <w:r>
                    <w:rPr>
                      <w:rtl/>
                    </w:rPr>
                    <w:t>תוספת</w:t>
                  </w:r>
                </w:p>
                <w:p w:rsidR="00FC52EA" w:rsidRDefault="00FC52EA">
                  <w:pPr>
                    <w:pStyle w:val="OCRStyle2"/>
                    <w:ind w:left="234"/>
                  </w:pPr>
                  <w:r>
                    <w:rPr>
                      <w:rtl/>
                    </w:rPr>
                    <w:t>תקנות-שעת-חירום (אזורי בטחון)' תש"ט- 1949</w:t>
                  </w:r>
                </w:p>
              </w:txbxContent>
            </v:textbox>
            <w10:wrap anchorx="page" anchory="page"/>
          </v:shape>
        </w:pict>
      </w:r>
      <w:r>
        <w:pict>
          <v:shape id="_x0000_s28575" o:spid="_x0000_s1033" type="#_x0000_t202" style="position:absolute;left:0;text-align:left;margin-left:122.95pt;margin-top:87.9pt;width:392.25pt;height:123.95pt;z-index:5;mso-position-horizontal-relative:page;mso-position-vertical-relative:page" stroked="f">
            <v:textbox style="mso-next-textbox:#_x0000_s28575" inset="0,0,0,0">
              <w:txbxContent>
                <w:p w:rsidR="00FC52EA" w:rsidRDefault="00FC52EA">
                  <w:pPr>
                    <w:pStyle w:val="OCRStyle2"/>
                    <w:ind w:left="299"/>
                    <w:rPr>
                      <w:rtl/>
                    </w:rPr>
                  </w:pPr>
                  <w:r>
                    <w:rPr>
                      <w:rtl/>
                    </w:rPr>
                    <w:t>3. זכות ביטול.</w:t>
                  </w:r>
                </w:p>
                <w:p w:rsidR="00FC52EA" w:rsidRDefault="00FC52EA">
                  <w:pPr>
                    <w:pStyle w:val="OCRStyle2"/>
                    <w:ind w:left="684"/>
                    <w:rPr>
                      <w:rtl/>
                    </w:rPr>
                  </w:pPr>
                  <w:r>
                    <w:rPr>
                      <w:rtl/>
                    </w:rPr>
                    <w:t>שר הבטחון רשאי, בכל עת, לבטל את התקנות האמורות על ידי צו שיפורסם</w:t>
                  </w:r>
                </w:p>
                <w:p w:rsidR="00FC52EA" w:rsidRDefault="00FC52EA">
                  <w:pPr>
                    <w:pStyle w:val="OCRStyle2"/>
                    <w:ind w:left="306"/>
                    <w:rPr>
                      <w:rtl/>
                    </w:rPr>
                  </w:pPr>
                  <w:r>
                    <w:rPr>
                      <w:rtl/>
                    </w:rPr>
                    <w:t>ברשומות.</w:t>
                  </w:r>
                </w:p>
                <w:p w:rsidR="00FC52EA" w:rsidRDefault="00FC52EA">
                  <w:pPr>
                    <w:pStyle w:val="OCRStyle2"/>
                    <w:ind w:left="299"/>
                    <w:rPr>
                      <w:rtl/>
                    </w:rPr>
                  </w:pPr>
                  <w:r>
                    <w:rPr>
                      <w:rtl/>
                    </w:rPr>
                    <w:t>4. תחילת תוקף.</w:t>
                  </w:r>
                </w:p>
                <w:p w:rsidR="00FC52EA" w:rsidRPr="008416E1" w:rsidRDefault="00FC52EA">
                  <w:pPr>
                    <w:pStyle w:val="OCRStyle2"/>
                    <w:ind w:left="698"/>
                  </w:pPr>
                  <w:r>
                    <w:rPr>
                      <w:rtl/>
                    </w:rPr>
                    <w:t>תקפו של חוק זה הוא מיום ו' באב תש"ט (1 באוגוסט 1949).</w:t>
                  </w:r>
                </w:p>
              </w:txbxContent>
            </v:textbox>
            <w10:wrap anchorx="page" anchory="page"/>
          </v:shape>
        </w:pict>
      </w:r>
    </w:p>
    <w:p w:rsidR="000F1861" w:rsidRDefault="000F1861">
      <w:pPr>
        <w:rPr>
          <w:rtl/>
        </w:rPr>
      </w:pPr>
      <w:r>
        <w:rPr>
          <w:rtl/>
        </w:rPr>
        <w:br w:type="page"/>
      </w:r>
    </w:p>
    <w:p w:rsidR="000F1861" w:rsidRDefault="00000000">
      <w:pPr>
        <w:rPr>
          <w:rtl/>
        </w:rPr>
      </w:pPr>
      <w:r>
        <w:pict>
          <v:shape id="_x0000_s28576" o:spid="_x0000_s1034" type="#_x0000_t202" style="position:absolute;left:0;text-align:left;margin-left:50pt;margin-top:771.95pt;width:495.35pt;height:30pt;z-index:12;mso-position-horizontal-relative:page;mso-position-vertical-relative:page" stroked="f">
            <v:textbox style="mso-next-textbox:#_x0000_s28576" inset="0,0,0,0">
              <w:txbxContent>
                <w:p w:rsidR="00FC52EA" w:rsidRDefault="00FC52EA">
                  <w:r>
                    <w:rPr>
                      <w:rtl/>
                    </w:rPr>
                    <w:t>138                                          ספר החוקים 17                       ח' באב התש"ט 03.08.1949</w:t>
                  </w:r>
                </w:p>
              </w:txbxContent>
            </v:textbox>
            <w10:wrap anchorx="page" anchory="page"/>
          </v:shape>
        </w:pict>
      </w:r>
      <w:r>
        <w:pict>
          <v:shape id="_x0000_s28577" o:spid="_x0000_s1035" type="#_x0000_t202" style="position:absolute;left:0;text-align:left;margin-left:83.85pt;margin-top:721.15pt;width:218.4pt;height:30.7pt;z-index:11;mso-position-horizontal-relative:page;mso-position-vertical-relative:page" stroked="f">
            <v:textbox style="mso-next-textbox:#_x0000_s28577" inset="0,0,0,0">
              <w:txbxContent>
                <w:p w:rsidR="00FC52EA" w:rsidRDefault="00FC52EA">
                  <w:pPr>
                    <w:pStyle w:val="OCRStyle3"/>
                  </w:pPr>
                </w:p>
              </w:txbxContent>
            </v:textbox>
            <w10:wrap anchorx="page" anchory="page"/>
          </v:shape>
        </w:pict>
      </w:r>
      <w:r>
        <w:pict>
          <v:shape id="_x0000_s28578" o:spid="_x0000_s1036" type="#_x0000_t202" style="position:absolute;left:0;text-align:left;margin-left:82.45pt;margin-top:82.6pt;width:437pt;height:634.8pt;z-index:10;mso-position-horizontal-relative:page;mso-position-vertical-relative:page" stroked="f">
            <v:textbox style="mso-next-textbox:#_x0000_s28578" inset="0,0,0,0">
              <w:txbxContent>
                <w:p w:rsidR="00FC52EA" w:rsidRDefault="00FC52EA">
                  <w:pPr>
                    <w:pStyle w:val="OCRStyle3"/>
                    <w:ind w:left="637"/>
                    <w:rPr>
                      <w:rtl/>
                    </w:rPr>
                  </w:pPr>
                  <w:r>
                    <w:rPr>
                      <w:rtl/>
                    </w:rPr>
                    <w:t>(ב) חברי הועדה המייעצת יתמנו מתוך באי כוח הרשויות המקומיות שתחום</w:t>
                  </w:r>
                </w:p>
                <w:p w:rsidR="00FC52EA" w:rsidRDefault="00FC52EA">
                  <w:pPr>
                    <w:pStyle w:val="OCRStyle3"/>
                    <w:ind w:left="248"/>
                    <w:rPr>
                      <w:rtl/>
                    </w:rPr>
                  </w:pPr>
                  <w:r>
                    <w:rPr>
                      <w:rtl/>
                    </w:rPr>
                    <w:t>שיפוטן הוא באזור הבטחון ובסביבתו ומתוך התושבים הקבועים של אזור הבטחון</w:t>
                  </w:r>
                </w:p>
                <w:p w:rsidR="00FC52EA" w:rsidRDefault="00FC52EA">
                  <w:pPr>
                    <w:pStyle w:val="OCRStyle3"/>
                    <w:ind w:left="252"/>
                    <w:rPr>
                      <w:rtl/>
                    </w:rPr>
                  </w:pPr>
                  <w:r>
                    <w:rPr>
                      <w:rtl/>
                    </w:rPr>
                    <w:t>ותושבי סביבתו ; ואם אין רשויות מקומיות כאמור' או שאינן פעילות למעשה -</w:t>
                  </w:r>
                </w:p>
                <w:p w:rsidR="00FC52EA" w:rsidRDefault="00FC52EA">
                  <w:pPr>
                    <w:pStyle w:val="OCRStyle3"/>
                    <w:ind w:left="248"/>
                    <w:rPr>
                      <w:rtl/>
                    </w:rPr>
                  </w:pPr>
                  <w:r>
                    <w:rPr>
                      <w:rtl/>
                    </w:rPr>
                    <w:t>יתמנו חברי הועדה המייעצת מתוך התושבים הקבועים של אזור הבטחון ומתוך</w:t>
                  </w:r>
                </w:p>
                <w:p w:rsidR="00FC52EA" w:rsidRDefault="00FC52EA">
                  <w:pPr>
                    <w:pStyle w:val="OCRStyle3"/>
                    <w:ind w:left="256"/>
                    <w:rPr>
                      <w:rtl/>
                    </w:rPr>
                  </w:pPr>
                  <w:r>
                    <w:rPr>
                      <w:rtl/>
                    </w:rPr>
                    <w:t>תושבי סביבתו.</w:t>
                  </w:r>
                </w:p>
                <w:p w:rsidR="00FC52EA" w:rsidRDefault="00FC52EA">
                  <w:pPr>
                    <w:pStyle w:val="OCRStyle3"/>
                    <w:ind w:left="263"/>
                    <w:rPr>
                      <w:rtl/>
                    </w:rPr>
                  </w:pPr>
                  <w:r>
                    <w:rPr>
                      <w:rtl/>
                    </w:rPr>
                    <w:t>6. איסורים.</w:t>
                  </w:r>
                </w:p>
                <w:p w:rsidR="00FC52EA" w:rsidRDefault="00FC52EA">
                  <w:pPr>
                    <w:pStyle w:val="OCRStyle3"/>
                    <w:ind w:left="637"/>
                    <w:rPr>
                      <w:rtl/>
                    </w:rPr>
                  </w:pPr>
                  <w:r>
                    <w:rPr>
                      <w:rtl/>
                    </w:rPr>
                    <w:t>(א) אסור לאדם, שאינו תושב קבוע, להימצא באזור בטחון או להיכנס אליו, אלא</w:t>
                  </w:r>
                </w:p>
                <w:p w:rsidR="00FC52EA" w:rsidRDefault="00FC52EA">
                  <w:pPr>
                    <w:pStyle w:val="OCRStyle3"/>
                    <w:ind w:left="263"/>
                    <w:rPr>
                      <w:rtl/>
                    </w:rPr>
                  </w:pPr>
                  <w:r>
                    <w:rPr>
                      <w:rtl/>
                    </w:rPr>
                    <w:t>אם הוא חייל או שוטר במילוי תפקידו, או אם הורשה לכך על פי רשיון בכתב מאת</w:t>
                  </w:r>
                </w:p>
                <w:p w:rsidR="00FC52EA" w:rsidRDefault="00FC52EA">
                  <w:pPr>
                    <w:pStyle w:val="OCRStyle3"/>
                    <w:ind w:left="274"/>
                    <w:rPr>
                      <w:rtl/>
                    </w:rPr>
                  </w:pPr>
                  <w:r>
                    <w:rPr>
                      <w:rtl/>
                    </w:rPr>
                    <w:t>רשות מוסמכת ובהתאם לתנאי הרשיון ; אך שר הבטחון רשאי, בצו על פי תקנה 2</w:t>
                  </w:r>
                </w:p>
                <w:p w:rsidR="00FC52EA" w:rsidRDefault="00FC52EA">
                  <w:pPr>
                    <w:pStyle w:val="OCRStyle3"/>
                    <w:ind w:left="266"/>
                    <w:rPr>
                      <w:rtl/>
                    </w:rPr>
                  </w:pPr>
                  <w:r>
                    <w:rPr>
                      <w:rtl/>
                    </w:rPr>
                    <w:t>או בצו נפרד בחתימת ידו שיפורסם ברשומות' להוציא מכלל האיסור האמור, לגבי</w:t>
                  </w:r>
                </w:p>
                <w:p w:rsidR="00FC52EA" w:rsidRDefault="00FC52EA">
                  <w:pPr>
                    <w:pStyle w:val="OCRStyle3"/>
                    <w:ind w:left="277"/>
                    <w:rPr>
                      <w:rtl/>
                    </w:rPr>
                  </w:pPr>
                  <w:r>
                    <w:rPr>
                      <w:rtl/>
                    </w:rPr>
                    <w:t>אזור הבטחון כולו או לגבי חלק ממנו, סוג מסויים של בני אדם, בין ללא תנאי ובין</w:t>
                  </w:r>
                </w:p>
                <w:p w:rsidR="00FC52EA" w:rsidRDefault="00FC52EA">
                  <w:pPr>
                    <w:pStyle w:val="OCRStyle3"/>
                    <w:ind w:left="263"/>
                    <w:rPr>
                      <w:rtl/>
                    </w:rPr>
                  </w:pPr>
                  <w:r>
                    <w:rPr>
                      <w:rtl/>
                    </w:rPr>
                    <w:t>בתנאים.</w:t>
                  </w:r>
                </w:p>
                <w:p w:rsidR="00FC52EA" w:rsidRDefault="00FC52EA">
                  <w:pPr>
                    <w:pStyle w:val="OCRStyle3"/>
                    <w:ind w:left="652"/>
                    <w:rPr>
                      <w:rtl/>
                    </w:rPr>
                  </w:pPr>
                  <w:r>
                    <w:rPr>
                      <w:rtl/>
                    </w:rPr>
                    <w:t>(ב) אדם הנמצא באזור בטחון בניגוד לתקנה זו' רשאי כל חייל וכל שוטר,</w:t>
                  </w:r>
                </w:p>
                <w:p w:rsidR="00FC52EA" w:rsidRDefault="00FC52EA">
                  <w:pPr>
                    <w:pStyle w:val="OCRStyle3"/>
                    <w:ind w:left="274"/>
                    <w:rPr>
                      <w:rtl/>
                    </w:rPr>
                  </w:pPr>
                  <w:r>
                    <w:rPr>
                      <w:rtl/>
                    </w:rPr>
                    <w:t>שהורשו לכך על ידי רשות מוסמכת' להוציאו מאזור הבטחון במועד שנקבע על ידי</w:t>
                  </w:r>
                </w:p>
                <w:p w:rsidR="00FC52EA" w:rsidRDefault="00FC52EA">
                  <w:pPr>
                    <w:pStyle w:val="OCRStyle3"/>
                    <w:ind w:left="274"/>
                    <w:rPr>
                      <w:rtl/>
                    </w:rPr>
                  </w:pPr>
                  <w:r>
                    <w:rPr>
                      <w:rtl/>
                    </w:rPr>
                    <w:t>הרשות המוסמכת, עם מטלטליו או בלעדיהם, ולהשתמש לצורך זה במידת הכוח</w:t>
                  </w:r>
                </w:p>
                <w:p w:rsidR="00FC52EA" w:rsidRDefault="00FC52EA">
                  <w:pPr>
                    <w:pStyle w:val="OCRStyle3"/>
                    <w:ind w:left="270"/>
                    <w:rPr>
                      <w:rtl/>
                    </w:rPr>
                  </w:pPr>
                  <w:r>
                    <w:rPr>
                      <w:rtl/>
                    </w:rPr>
                    <w:t>הדרושה.</w:t>
                  </w:r>
                </w:p>
                <w:p w:rsidR="00FC52EA" w:rsidRDefault="00FC52EA">
                  <w:pPr>
                    <w:pStyle w:val="OCRStyle3"/>
                    <w:ind w:left="659"/>
                    <w:rPr>
                      <w:rtl/>
                    </w:rPr>
                  </w:pPr>
                  <w:r>
                    <w:rPr>
                      <w:rtl/>
                    </w:rPr>
                    <w:t>(ג) הוצאת אדם מאזור בטחון על פי תקנת משנה (ב) לא תגרע מאחריותו של</w:t>
                  </w:r>
                </w:p>
                <w:p w:rsidR="00FC52EA" w:rsidRDefault="00FC52EA">
                  <w:pPr>
                    <w:pStyle w:val="OCRStyle3"/>
                    <w:ind w:left="270"/>
                    <w:rPr>
                      <w:rtl/>
                    </w:rPr>
                  </w:pPr>
                  <w:r>
                    <w:rPr>
                      <w:rtl/>
                    </w:rPr>
                    <w:t>אותו אדם על פי תקנה 7.</w:t>
                  </w:r>
                </w:p>
                <w:p w:rsidR="00FC52EA" w:rsidRDefault="00FC52EA">
                  <w:pPr>
                    <w:pStyle w:val="OCRStyle3"/>
                    <w:ind w:left="277"/>
                    <w:rPr>
                      <w:rtl/>
                    </w:rPr>
                  </w:pPr>
                  <w:r>
                    <w:rPr>
                      <w:rtl/>
                    </w:rPr>
                    <w:t>7. עבירות.</w:t>
                  </w:r>
                </w:p>
                <w:p w:rsidR="00FC52EA" w:rsidRDefault="00FC52EA">
                  <w:pPr>
                    <w:pStyle w:val="OCRStyle3"/>
                    <w:ind w:left="655"/>
                    <w:rPr>
                      <w:rtl/>
                    </w:rPr>
                  </w:pPr>
                  <w:r>
                    <w:rPr>
                      <w:rtl/>
                    </w:rPr>
                    <w:t>אדם העובר על תקנה 6 (א)' או על תנאי של רשיון שניתן על פיה, דינו -</w:t>
                  </w:r>
                </w:p>
                <w:p w:rsidR="00FC52EA" w:rsidRDefault="00FC52EA">
                  <w:pPr>
                    <w:pStyle w:val="OCRStyle3"/>
                    <w:ind w:left="270"/>
                    <w:rPr>
                      <w:rtl/>
                    </w:rPr>
                  </w:pPr>
                  <w:r>
                    <w:rPr>
                      <w:rtl/>
                    </w:rPr>
                    <w:t>מאסר עד שנה אחת או קנס עד שלוש מאות לירות או שני הענשים כאחד.</w:t>
                  </w:r>
                </w:p>
                <w:p w:rsidR="00FC52EA" w:rsidRDefault="00FC52EA">
                  <w:pPr>
                    <w:pStyle w:val="OCRStyle3"/>
                    <w:ind w:left="270"/>
                    <w:rPr>
                      <w:rtl/>
                    </w:rPr>
                  </w:pPr>
                  <w:r>
                    <w:rPr>
                      <w:rtl/>
                    </w:rPr>
                    <w:t>8 . צווי יציאה.</w:t>
                  </w:r>
                </w:p>
                <w:p w:rsidR="00FC52EA" w:rsidRDefault="00FC52EA">
                  <w:pPr>
                    <w:pStyle w:val="OCRStyle3"/>
                    <w:ind w:left="670"/>
                    <w:rPr>
                      <w:rtl/>
                    </w:rPr>
                  </w:pPr>
                  <w:r>
                    <w:rPr>
                      <w:rtl/>
                    </w:rPr>
                    <w:t>(א) רשות מוסמכת רשאית לצוות על תושב קבוע של אזור בטחון לצאת את</w:t>
                  </w:r>
                </w:p>
                <w:p w:rsidR="00FC52EA" w:rsidRDefault="00FC52EA">
                  <w:pPr>
                    <w:pStyle w:val="OCRStyle3"/>
                    <w:ind w:left="277"/>
                    <w:rPr>
                      <w:rtl/>
                    </w:rPr>
                  </w:pPr>
                  <w:r>
                    <w:rPr>
                      <w:rtl/>
                    </w:rPr>
                    <w:t>אזור הבטחון. צו כזה נקרא בתקנות אלה "צו יציאה'/</w:t>
                  </w:r>
                </w:p>
                <w:p w:rsidR="00FC52EA" w:rsidRDefault="00FC52EA">
                  <w:pPr>
                    <w:pStyle w:val="OCRStyle3"/>
                    <w:ind w:left="666"/>
                    <w:rPr>
                      <w:rtl/>
                    </w:rPr>
                  </w:pPr>
                  <w:r>
                    <w:rPr>
                      <w:rtl/>
                    </w:rPr>
                    <w:t>(ב) תושב קבוע שנצטווה לצאת את אזור הבטחון, כאמור, חייב לצאת את אזור</w:t>
                  </w:r>
                </w:p>
                <w:p w:rsidR="00FC52EA" w:rsidRDefault="00FC52EA">
                  <w:pPr>
                    <w:pStyle w:val="OCRStyle3"/>
                    <w:ind w:left="263"/>
                    <w:rPr>
                      <w:rtl/>
                    </w:rPr>
                  </w:pPr>
                  <w:r>
                    <w:rPr>
                      <w:rtl/>
                    </w:rPr>
                    <w:t>הבטחון תוך ארבעה עשר יום מהיום שבו נמסר לו צו היציאה.</w:t>
                  </w:r>
                </w:p>
                <w:p w:rsidR="00FC52EA" w:rsidRDefault="00FC52EA">
                  <w:pPr>
                    <w:pStyle w:val="OCRStyle3"/>
                    <w:ind w:left="659"/>
                    <w:rPr>
                      <w:rtl/>
                    </w:rPr>
                  </w:pPr>
                  <w:r>
                    <w:rPr>
                      <w:rtl/>
                    </w:rPr>
                    <w:t>(ג) חלפו ארבעה עשר יום האמורים, דינו של התושב הקבוע כדין אדם שאינו</w:t>
                  </w:r>
                </w:p>
                <w:p w:rsidR="00FC52EA" w:rsidRDefault="00FC52EA">
                  <w:pPr>
                    <w:pStyle w:val="OCRStyle3"/>
                    <w:ind w:left="270"/>
                    <w:rPr>
                      <w:rtl/>
                    </w:rPr>
                  </w:pPr>
                  <w:r>
                    <w:rPr>
                      <w:rtl/>
                    </w:rPr>
                    <w:t>תושב קבוע ; ותקוות 6 ו-7 יחולו עליו בהתאם לכך,</w:t>
                  </w:r>
                </w:p>
                <w:p w:rsidR="00FC52EA" w:rsidRDefault="00FC52EA">
                  <w:pPr>
                    <w:pStyle w:val="OCRStyle3"/>
                    <w:ind w:left="277"/>
                    <w:rPr>
                      <w:rtl/>
                    </w:rPr>
                  </w:pPr>
                  <w:r>
                    <w:rPr>
                      <w:rtl/>
                    </w:rPr>
                    <w:t>9 . ועדות ערעור.</w:t>
                  </w:r>
                </w:p>
                <w:p w:rsidR="00FC52EA" w:rsidRDefault="00FC52EA">
                  <w:pPr>
                    <w:pStyle w:val="OCRStyle3"/>
                    <w:ind w:left="652"/>
                    <w:rPr>
                      <w:rtl/>
                    </w:rPr>
                  </w:pPr>
                  <w:r>
                    <w:rPr>
                      <w:rtl/>
                    </w:rPr>
                    <w:t>(א) שר הבטחון ימנה ועדת ערעור או ועדות ערעור לצורך תקנות אלה.</w:t>
                  </w:r>
                </w:p>
                <w:p w:rsidR="00FC52EA" w:rsidRDefault="00FC52EA">
                  <w:pPr>
                    <w:pStyle w:val="OCRStyle3"/>
                    <w:ind w:left="670"/>
                    <w:rPr>
                      <w:rtl/>
                    </w:rPr>
                  </w:pPr>
                  <w:r>
                    <w:rPr>
                      <w:rtl/>
                    </w:rPr>
                    <w:t>(ב) ועדת ערעור תהיה של שלושה חברים. יושב ראש הועדה יהיה שופט או</w:t>
                  </w:r>
                </w:p>
                <w:p w:rsidR="00FC52EA" w:rsidRDefault="00FC52EA">
                  <w:pPr>
                    <w:pStyle w:val="OCRStyle3"/>
                    <w:ind w:left="270"/>
                    <w:rPr>
                      <w:rtl/>
                    </w:rPr>
                  </w:pPr>
                  <w:r>
                    <w:rPr>
                      <w:rtl/>
                    </w:rPr>
                    <w:t>שופט שלום שיתמנה לפי המלצת שר המשפטים.</w:t>
                  </w:r>
                </w:p>
                <w:p w:rsidR="00FC52EA" w:rsidRPr="000F1861" w:rsidRDefault="00FC52EA">
                  <w:pPr>
                    <w:pStyle w:val="OCRStyle3"/>
                    <w:ind w:left="662"/>
                  </w:pPr>
                  <w:r>
                    <w:rPr>
                      <w:rtl/>
                    </w:rPr>
                    <w:t>(ג) הודעה על מינוי ועדת ערעור ועל כתובת הועדה תפורסם ברשומות.</w:t>
                  </w:r>
                </w:p>
              </w:txbxContent>
            </v:textbox>
            <w10:wrap anchorx="page" anchory="page"/>
          </v:shape>
        </w:pict>
      </w:r>
    </w:p>
    <w:p w:rsidR="002619A4" w:rsidRDefault="002619A4">
      <w:pPr>
        <w:rPr>
          <w:rtl/>
        </w:rPr>
      </w:pPr>
      <w:r>
        <w:rPr>
          <w:rtl/>
        </w:rPr>
        <w:br w:type="page"/>
      </w:r>
    </w:p>
    <w:p w:rsidR="002619A4" w:rsidRDefault="00000000">
      <w:pPr>
        <w:rPr>
          <w:rtl/>
        </w:rPr>
      </w:pPr>
      <w:r>
        <w:pict>
          <v:shape id="_x0000_s28579" o:spid="_x0000_s1037" type="#_x0000_t202" style="position:absolute;left:0;text-align:left;margin-left:50pt;margin-top:771.95pt;width:495.35pt;height:30pt;z-index:16;mso-position-horizontal-relative:page;mso-position-vertical-relative:page" stroked="f">
            <v:textbox style="mso-next-textbox:#_x0000_s28579" inset="0,0,0,0">
              <w:txbxContent>
                <w:p w:rsidR="00FC52EA" w:rsidRDefault="00FC52EA">
                  <w:r>
                    <w:rPr>
                      <w:rtl/>
                    </w:rPr>
                    <w:t>139                                          ספר החוקים 17                       ח' באב התש"ט 03.08.1949</w:t>
                  </w:r>
                </w:p>
              </w:txbxContent>
            </v:textbox>
            <w10:wrap anchorx="page" anchory="page"/>
          </v:shape>
        </w:pict>
      </w:r>
      <w:r>
        <w:pict>
          <v:shape id="_x0000_s28580" o:spid="_x0000_s1038" type="#_x0000_t202" style="position:absolute;left:0;text-align:left;margin-left:357.95pt;margin-top:733.6pt;width:195.45pt;height:29.3pt;z-index:15;mso-position-horizontal-relative:page;mso-position-vertical-relative:page" stroked="f">
            <v:textbox style="mso-next-textbox:#_x0000_s28580" inset="0,0,0,0">
              <w:txbxContent>
                <w:p w:rsidR="00FC52EA" w:rsidRDefault="00FC52EA">
                  <w:pPr>
                    <w:pStyle w:val="OCRStyle4"/>
                  </w:pPr>
                </w:p>
              </w:txbxContent>
            </v:textbox>
            <w10:wrap anchorx="page" anchory="page"/>
          </v:shape>
        </w:pict>
      </w:r>
      <w:r>
        <w:pict>
          <v:shape id="_x0000_s28581" o:spid="_x0000_s1039" type="#_x0000_t202" style="position:absolute;left:0;text-align:left;margin-left:285.05pt;margin-top:685.1pt;width:210.85pt;height:20.4pt;z-index:14;mso-position-horizontal-relative:page;mso-position-vertical-relative:page" stroked="f">
            <v:textbox style="mso-next-textbox:#_x0000_s28581" inset="0,0,0,0">
              <w:txbxContent>
                <w:p w:rsidR="00FC52EA" w:rsidRPr="002619A4" w:rsidRDefault="00FC52EA">
                  <w:pPr>
                    <w:pStyle w:val="OCRStyle4"/>
                    <w:ind w:left="245"/>
                    <w:rPr>
                      <w:sz w:val="18"/>
                      <w:szCs w:val="18"/>
                    </w:rPr>
                  </w:pPr>
                  <w:r>
                    <w:rPr>
                      <w:rtl/>
                    </w:rPr>
                    <w:t>1 חוקי א"י, כרך א', פרק כ"א, עמ' 125.</w:t>
                  </w:r>
                </w:p>
              </w:txbxContent>
            </v:textbox>
            <w10:wrap anchorx="page" anchory="page"/>
          </v:shape>
        </w:pict>
      </w:r>
      <w:r>
        <w:pict>
          <v:shape id="_x0000_s28582" o:spid="_x0000_s1040" type="#_x0000_t202" style="position:absolute;left:0;text-align:left;margin-left:115.2pt;margin-top:93.7pt;width:407.5pt;height:579.95pt;z-index:13;mso-position-horizontal-relative:page;mso-position-vertical-relative:page" stroked="f">
            <v:textbox style="mso-next-textbox:#_x0000_s28582" inset="0,0,0,0">
              <w:txbxContent>
                <w:p w:rsidR="00FC52EA" w:rsidRDefault="00FC52EA">
                  <w:pPr>
                    <w:pStyle w:val="OCRStyle4"/>
                    <w:ind w:left="421"/>
                    <w:rPr>
                      <w:rtl/>
                    </w:rPr>
                  </w:pPr>
                  <w:r>
                    <w:rPr>
                      <w:rtl/>
                    </w:rPr>
                    <w:t>10. ערעור.</w:t>
                  </w:r>
                </w:p>
                <w:p w:rsidR="00FC52EA" w:rsidRDefault="00FC52EA">
                  <w:pPr>
                    <w:pStyle w:val="OCRStyle4"/>
                    <w:ind w:left="810"/>
                    <w:rPr>
                      <w:rtl/>
                    </w:rPr>
                  </w:pPr>
                  <w:r>
                    <w:rPr>
                      <w:rtl/>
                    </w:rPr>
                    <w:t>(א) תושב קבוע שניתן עליו צו יציאה, רשאי, תוך ארבעה ימים מהיום שבו</w:t>
                  </w:r>
                </w:p>
                <w:p w:rsidR="00FC52EA" w:rsidRDefault="00FC52EA">
                  <w:pPr>
                    <w:pStyle w:val="OCRStyle4"/>
                    <w:ind w:left="418"/>
                    <w:rPr>
                      <w:rtl/>
                    </w:rPr>
                  </w:pPr>
                  <w:r>
                    <w:rPr>
                      <w:rtl/>
                    </w:rPr>
                    <w:t>נמסר לו הצו, לערער עליו בפני ועדת ערעור.</w:t>
                  </w:r>
                </w:p>
                <w:p w:rsidR="00FC52EA" w:rsidRDefault="00FC52EA">
                  <w:pPr>
                    <w:pStyle w:val="OCRStyle4"/>
                    <w:ind w:left="803"/>
                    <w:rPr>
                      <w:rtl/>
                    </w:rPr>
                  </w:pPr>
                  <w:r>
                    <w:rPr>
                      <w:rtl/>
                    </w:rPr>
                    <w:t>(ב) הערעור יוגש בכתב לידי הרשות המוסמכת שנתנה את צו היציאה. הרשות</w:t>
                  </w:r>
                </w:p>
                <w:p w:rsidR="00FC52EA" w:rsidRDefault="00FC52EA">
                  <w:pPr>
                    <w:pStyle w:val="OCRStyle4"/>
                    <w:ind w:left="410"/>
                    <w:rPr>
                      <w:rtl/>
                    </w:rPr>
                  </w:pPr>
                  <w:r>
                    <w:rPr>
                      <w:rtl/>
                    </w:rPr>
                    <w:t>המוסמכת תעביר מיד את הערעור לועדת הערעור.</w:t>
                  </w:r>
                </w:p>
                <w:p w:rsidR="00FC52EA" w:rsidRDefault="00FC52EA">
                  <w:pPr>
                    <w:pStyle w:val="OCRStyle4"/>
                    <w:ind w:left="792"/>
                    <w:rPr>
                      <w:rtl/>
                    </w:rPr>
                  </w:pPr>
                  <w:r>
                    <w:rPr>
                      <w:rtl/>
                    </w:rPr>
                    <w:t>(ג) ועדת הערעור תדון ותפסוק בערעור תוך ארבעה עשר יום מהיום שבו</w:t>
                  </w:r>
                </w:p>
                <w:p w:rsidR="00FC52EA" w:rsidRDefault="00FC52EA">
                  <w:pPr>
                    <w:pStyle w:val="OCRStyle4"/>
                    <w:ind w:left="403"/>
                    <w:rPr>
                      <w:rtl/>
                    </w:rPr>
                  </w:pPr>
                  <w:r>
                    <w:rPr>
                      <w:rtl/>
                    </w:rPr>
                    <w:t>נמסר צו היציאה למערער.</w:t>
                  </w:r>
                </w:p>
                <w:p w:rsidR="00FC52EA" w:rsidRDefault="00FC52EA">
                  <w:pPr>
                    <w:pStyle w:val="OCRStyle4"/>
                    <w:ind w:left="767"/>
                    <w:rPr>
                      <w:rtl/>
                    </w:rPr>
                  </w:pPr>
                  <w:r>
                    <w:rPr>
                      <w:rtl/>
                    </w:rPr>
                    <w:t>(ד) ועדת הערעור רשאית לאשר את צו היציאה, או לאשרו בתנאים מסויימים,</w:t>
                  </w:r>
                </w:p>
                <w:p w:rsidR="00FC52EA" w:rsidRDefault="00FC52EA">
                  <w:pPr>
                    <w:pStyle w:val="OCRStyle4"/>
                    <w:ind w:left="389"/>
                    <w:rPr>
                      <w:rtl/>
                    </w:rPr>
                  </w:pPr>
                  <w:r>
                    <w:rPr>
                      <w:rtl/>
                    </w:rPr>
                    <w:t>או לבטלו. החלטת הועדה תהיה סופית.</w:t>
                  </w:r>
                </w:p>
                <w:p w:rsidR="00FC52EA" w:rsidRDefault="00FC52EA">
                  <w:pPr>
                    <w:pStyle w:val="OCRStyle4"/>
                    <w:ind w:left="414"/>
                    <w:rPr>
                      <w:rtl/>
                    </w:rPr>
                  </w:pPr>
                  <w:r>
                    <w:rPr>
                      <w:rtl/>
                    </w:rPr>
                    <w:t>11 . טענת תושב קבוע.</w:t>
                  </w:r>
                </w:p>
                <w:p w:rsidR="00FC52EA" w:rsidRDefault="00FC52EA">
                  <w:pPr>
                    <w:pStyle w:val="OCRStyle4"/>
                    <w:ind w:left="774"/>
                    <w:rPr>
                      <w:rtl/>
                    </w:rPr>
                  </w:pPr>
                  <w:r>
                    <w:rPr>
                      <w:rtl/>
                    </w:rPr>
                    <w:t>(א) היתה רשות מוסמכת סבורה שאדם מסויים הנמצא באזור בטחון אינו תושב</w:t>
                  </w:r>
                </w:p>
                <w:p w:rsidR="00FC52EA" w:rsidRDefault="00FC52EA">
                  <w:pPr>
                    <w:pStyle w:val="OCRStyle4"/>
                    <w:ind w:left="400"/>
                    <w:rPr>
                      <w:rtl/>
                    </w:rPr>
                  </w:pPr>
                  <w:r>
                    <w:rPr>
                      <w:rtl/>
                    </w:rPr>
                    <w:t>קבוע, ואותו אדם טוען שהוא תושב קבוע, רשאי הוא להביא את טענתו בפני ועדת</w:t>
                  </w:r>
                </w:p>
                <w:p w:rsidR="00FC52EA" w:rsidRDefault="00FC52EA">
                  <w:pPr>
                    <w:pStyle w:val="OCRStyle4"/>
                    <w:ind w:left="378"/>
                    <w:rPr>
                      <w:rtl/>
                    </w:rPr>
                  </w:pPr>
                  <w:r>
                    <w:rPr>
                      <w:rtl/>
                    </w:rPr>
                    <w:t>ערעור.</w:t>
                  </w:r>
                </w:p>
                <w:p w:rsidR="00FC52EA" w:rsidRDefault="00FC52EA">
                  <w:pPr>
                    <w:pStyle w:val="OCRStyle4"/>
                    <w:ind w:left="770"/>
                    <w:rPr>
                      <w:rtl/>
                    </w:rPr>
                  </w:pPr>
                  <w:r>
                    <w:rPr>
                      <w:rtl/>
                    </w:rPr>
                    <w:t>(ב) הטענה תוגש בכתב לידי הרשות המוסמכת שתעבירה מיד לועדת הערעור.</w:t>
                  </w:r>
                </w:p>
                <w:p w:rsidR="00FC52EA" w:rsidRDefault="00FC52EA">
                  <w:pPr>
                    <w:pStyle w:val="OCRStyle4"/>
                    <w:ind w:left="767"/>
                    <w:rPr>
                      <w:rtl/>
                    </w:rPr>
                  </w:pPr>
                  <w:r>
                    <w:rPr>
                      <w:rtl/>
                    </w:rPr>
                    <w:t>(ג) הועדה תפסוק, תוך ארבעה עשר יום מיום הגשת הטענה' אם אותו אדם</w:t>
                  </w:r>
                </w:p>
                <w:p w:rsidR="00FC52EA" w:rsidRDefault="00FC52EA">
                  <w:pPr>
                    <w:pStyle w:val="OCRStyle4"/>
                    <w:ind w:left="367"/>
                    <w:rPr>
                      <w:rtl/>
                    </w:rPr>
                  </w:pPr>
                  <w:r>
                    <w:rPr>
                      <w:rtl/>
                    </w:rPr>
                    <w:t>הוא תושב קבוע או לא. החלטת הועדה תהיה סופית.</w:t>
                  </w:r>
                </w:p>
                <w:p w:rsidR="00FC52EA" w:rsidRDefault="00FC52EA">
                  <w:pPr>
                    <w:pStyle w:val="OCRStyle4"/>
                    <w:ind w:left="760"/>
                    <w:rPr>
                      <w:rtl/>
                    </w:rPr>
                  </w:pPr>
                  <w:r>
                    <w:rPr>
                      <w:rtl/>
                    </w:rPr>
                    <w:t>(ד) פסקה הועדה שאותו אדם הוא תושב קבוע, יראו אותו כאילו ביום הגשת</w:t>
                  </w:r>
                </w:p>
                <w:p w:rsidR="00FC52EA" w:rsidRDefault="00FC52EA">
                  <w:pPr>
                    <w:pStyle w:val="OCRStyle4"/>
                    <w:ind w:left="378"/>
                    <w:rPr>
                      <w:rtl/>
                    </w:rPr>
                  </w:pPr>
                  <w:r>
                    <w:rPr>
                      <w:rtl/>
                    </w:rPr>
                    <w:t>הטענה ניתן עליו צו יציאה והוא ערער על הצו לפי תקנה 10 ; והועדה תחליט,</w:t>
                  </w:r>
                </w:p>
                <w:p w:rsidR="00FC52EA" w:rsidRDefault="00FC52EA">
                  <w:pPr>
                    <w:pStyle w:val="OCRStyle4"/>
                    <w:ind w:left="382"/>
                    <w:rPr>
                      <w:rtl/>
                    </w:rPr>
                  </w:pPr>
                  <w:r>
                    <w:rPr>
                      <w:rtl/>
                    </w:rPr>
                    <w:t>באותו מעמד, אם לאשר את צו היציאה, או לאשרו בתנאים מסויימים, או לבטלו.</w:t>
                  </w:r>
                </w:p>
                <w:p w:rsidR="00FC52EA" w:rsidRDefault="00FC52EA">
                  <w:pPr>
                    <w:pStyle w:val="OCRStyle4"/>
                    <w:ind w:left="371"/>
                    <w:rPr>
                      <w:rtl/>
                    </w:rPr>
                  </w:pPr>
                  <w:r>
                    <w:rPr>
                      <w:rtl/>
                    </w:rPr>
                    <w:t>החלטת הועדה תהיה סופית.</w:t>
                  </w:r>
                </w:p>
                <w:p w:rsidR="00FC52EA" w:rsidRDefault="00FC52EA">
                  <w:pPr>
                    <w:pStyle w:val="OCRStyle4"/>
                    <w:ind w:left="756"/>
                    <w:rPr>
                      <w:rtl/>
                    </w:rPr>
                  </w:pPr>
                  <w:r>
                    <w:rPr>
                      <w:rtl/>
                    </w:rPr>
                    <w:t>(ה) הגשת טענה לפי תקנה זו לא תמנע את הרשות המוסמכת מלנהוג בטוען</w:t>
                  </w:r>
                </w:p>
                <w:p w:rsidR="00FC52EA" w:rsidRDefault="00FC52EA">
                  <w:pPr>
                    <w:pStyle w:val="OCRStyle4"/>
                    <w:ind w:left="367"/>
                    <w:rPr>
                      <w:rtl/>
                    </w:rPr>
                  </w:pPr>
                  <w:r>
                    <w:rPr>
                      <w:rtl/>
                    </w:rPr>
                    <w:t>כבמי שאינו תושב קבוע ; והחלטת ועדת הערעור שהטוען הוא תושב קבוע לא תפגע</w:t>
                  </w:r>
                </w:p>
                <w:p w:rsidR="00FC52EA" w:rsidRDefault="00FC52EA">
                  <w:pPr>
                    <w:pStyle w:val="OCRStyle4"/>
                    <w:ind w:left="349"/>
                    <w:rPr>
                      <w:rtl/>
                    </w:rPr>
                  </w:pPr>
                  <w:r>
                    <w:rPr>
                      <w:rtl/>
                    </w:rPr>
                    <w:t>בתקפה של כל פעולה שנעשתה לגבי הטוען לפני יום ההחלטה, אם הפעולה היתה</w:t>
                  </w:r>
                </w:p>
                <w:p w:rsidR="00FC52EA" w:rsidRDefault="00FC52EA">
                  <w:pPr>
                    <w:pStyle w:val="OCRStyle4"/>
                    <w:ind w:left="356"/>
                    <w:rPr>
                      <w:rtl/>
                    </w:rPr>
                  </w:pPr>
                  <w:r>
                    <w:rPr>
                      <w:rtl/>
                    </w:rPr>
                    <w:t>בת תוקף אילו הטוען לא היה תושב קבוע.</w:t>
                  </w:r>
                </w:p>
                <w:p w:rsidR="00FC52EA" w:rsidRDefault="00FC52EA">
                  <w:pPr>
                    <w:pStyle w:val="OCRStyle4"/>
                    <w:ind w:left="356"/>
                    <w:rPr>
                      <w:rtl/>
                    </w:rPr>
                  </w:pPr>
                  <w:r>
                    <w:rPr>
                      <w:rtl/>
                    </w:rPr>
                    <w:t>12. ועדת ערעור - סדרי דיון.</w:t>
                  </w:r>
                </w:p>
                <w:p w:rsidR="00FC52EA" w:rsidRDefault="00FC52EA">
                  <w:pPr>
                    <w:pStyle w:val="OCRStyle4"/>
                    <w:ind w:left="731"/>
                    <w:rPr>
                      <w:rtl/>
                    </w:rPr>
                  </w:pPr>
                  <w:r>
                    <w:rPr>
                      <w:rtl/>
                    </w:rPr>
                    <w:t>(א) ועדת ערעור מחליטה את החלטותיה ברוב דעות.</w:t>
                  </w:r>
                </w:p>
                <w:p w:rsidR="00FC52EA" w:rsidRDefault="00FC52EA">
                  <w:pPr>
                    <w:pStyle w:val="OCRStyle4"/>
                    <w:ind w:left="709"/>
                    <w:rPr>
                      <w:rtl/>
                    </w:rPr>
                  </w:pPr>
                  <w:r>
                    <w:rPr>
                      <w:rtl/>
                    </w:rPr>
                    <w:t>(ב) לועדת ערעור סמכויות כאילו היתה ועדת חקירה שנתמנתה לפי פקודת</w:t>
                  </w:r>
                </w:p>
                <w:p w:rsidR="00FC52EA" w:rsidRDefault="00FC52EA">
                  <w:pPr>
                    <w:pStyle w:val="OCRStyle4"/>
                    <w:ind w:left="328"/>
                    <w:rPr>
                      <w:rtl/>
                    </w:rPr>
                  </w:pPr>
                  <w:r>
                    <w:rPr>
                      <w:rtl/>
                    </w:rPr>
                    <w:t>ועדות החקירה 1 ושהוענקו לה כל הסמכויות שאפשר להעניק לועדת חקירה כזאת</w:t>
                  </w:r>
                </w:p>
                <w:p w:rsidR="00FC52EA" w:rsidRDefault="00FC52EA">
                  <w:pPr>
                    <w:pStyle w:val="OCRStyle4"/>
                    <w:ind w:left="338"/>
                    <w:rPr>
                      <w:rtl/>
                    </w:rPr>
                  </w:pPr>
                  <w:r>
                    <w:rPr>
                      <w:rtl/>
                    </w:rPr>
                    <w:t>לפי סעיף 5 לפקודה האמורה.</w:t>
                  </w:r>
                </w:p>
                <w:p w:rsidR="00FC52EA" w:rsidRDefault="00FC52EA">
                  <w:pPr>
                    <w:pStyle w:val="OCRStyle4"/>
                    <w:ind w:left="727"/>
                    <w:rPr>
                      <w:rtl/>
                    </w:rPr>
                  </w:pPr>
                  <w:r>
                    <w:rPr>
                      <w:rtl/>
                    </w:rPr>
                    <w:t>(ג) ועדת ערעור קובעת בעצמה את סדרי דיוניה ועבודתה במידה שלא נקבעו</w:t>
                  </w:r>
                </w:p>
                <w:p w:rsidR="00FC52EA" w:rsidRDefault="00FC52EA">
                  <w:pPr>
                    <w:pStyle w:val="OCRStyle4"/>
                    <w:ind w:left="331"/>
                    <w:rPr>
                      <w:rtl/>
                    </w:rPr>
                  </w:pPr>
                  <w:r>
                    <w:rPr>
                      <w:rtl/>
                    </w:rPr>
                    <w:t>בתקנות אלה.</w:t>
                  </w:r>
                </w:p>
                <w:p w:rsidR="00FC52EA" w:rsidRDefault="00FC52EA">
                  <w:pPr>
                    <w:pStyle w:val="OCRStyle4"/>
                    <w:ind w:left="328"/>
                    <w:rPr>
                      <w:rtl/>
                    </w:rPr>
                  </w:pPr>
                  <w:r>
                    <w:rPr>
                      <w:rtl/>
                    </w:rPr>
                    <w:t>13. ראיות</w:t>
                  </w:r>
                </w:p>
                <w:p w:rsidR="00FC52EA" w:rsidRDefault="00FC52EA">
                  <w:pPr>
                    <w:pStyle w:val="OCRStyle4"/>
                    <w:ind w:left="702"/>
                    <w:rPr>
                      <w:rtl/>
                    </w:rPr>
                  </w:pPr>
                  <w:r>
                    <w:rPr>
                      <w:rtl/>
                    </w:rPr>
                    <w:t>(א) מסמך שנראה מתוכו כי הוא צו חתום על ידי רשות מוסמכת, רואים אותו</w:t>
                  </w:r>
                </w:p>
                <w:p w:rsidR="00FC52EA" w:rsidRPr="002619A4" w:rsidRDefault="00FC52EA">
                  <w:pPr>
                    <w:pStyle w:val="OCRStyle4"/>
                    <w:ind w:left="324"/>
                  </w:pPr>
                  <w:r>
                    <w:rPr>
                      <w:rtl/>
                    </w:rPr>
                    <w:t>כצו של רשות מוסמכת, כל עוד לא הוכח היפוכו של דבר.</w:t>
                  </w:r>
                </w:p>
              </w:txbxContent>
            </v:textbox>
            <w10:wrap anchorx="page" anchory="page"/>
          </v:shape>
        </w:pict>
      </w:r>
    </w:p>
    <w:p w:rsidR="00FC52EA" w:rsidRDefault="00FC52EA">
      <w:pPr>
        <w:rPr>
          <w:rtl/>
        </w:rPr>
      </w:pPr>
      <w:r>
        <w:rPr>
          <w:rtl/>
        </w:rPr>
        <w:br w:type="page"/>
      </w:r>
    </w:p>
    <w:p w:rsidR="00FC52EA" w:rsidRDefault="00000000">
      <w:pPr>
        <w:rPr>
          <w:rtl/>
        </w:rPr>
      </w:pPr>
      <w:r>
        <w:pict>
          <v:shape id="_x0000_s28583" o:spid="_x0000_s1041" type="#_x0000_t202" style="position:absolute;left:0;text-align:left;margin-left:50pt;margin-top:771.95pt;width:495.35pt;height:30pt;z-index:20;mso-position-horizontal-relative:page;mso-position-vertical-relative:page" stroked="f">
            <v:textbox style="mso-next-textbox:#_x0000_s28583" inset="0,0,0,0">
              <w:txbxContent>
                <w:p w:rsidR="00FC52EA" w:rsidRDefault="00FC52EA">
                  <w:r>
                    <w:rPr>
                      <w:rtl/>
                    </w:rPr>
                    <w:t>140                                          ספר החוקים 17                       ח' באב התש"ט 03.08.1949</w:t>
                  </w:r>
                </w:p>
              </w:txbxContent>
            </v:textbox>
            <w10:wrap anchorx="page" anchory="page"/>
          </v:shape>
        </w:pict>
      </w:r>
      <w:r>
        <w:pict>
          <v:shape id="_x0000_s28584" o:spid="_x0000_s1042" type="#_x0000_t202" style="position:absolute;left:0;text-align:left;margin-left:131.1pt;margin-top:366pt;width:171.05pt;height:54.85pt;z-index:19;mso-position-horizontal-relative:page;mso-position-vertical-relative:page" stroked="f">
            <v:textbox style="mso-next-textbox:#_x0000_s28584" inset="0,0,0,0">
              <w:txbxContent>
                <w:p w:rsidR="00FC52EA" w:rsidRDefault="00FC52EA">
                  <w:pPr>
                    <w:pStyle w:val="OCRStyle5"/>
                    <w:ind w:left="590"/>
                    <w:rPr>
                      <w:rtl/>
                    </w:rPr>
                  </w:pPr>
                  <w:r>
                    <w:rPr>
                      <w:rtl/>
                    </w:rPr>
                    <w:t>יוסף שפרינצק</w:t>
                  </w:r>
                </w:p>
                <w:p w:rsidR="00FC52EA" w:rsidRDefault="00FC52EA">
                  <w:pPr>
                    <w:pStyle w:val="OCRStyle5"/>
                    <w:ind w:left="277"/>
                  </w:pPr>
                  <w:r>
                    <w:rPr>
                      <w:rtl/>
                    </w:rPr>
                    <w:t>יו"ר הכנסת ומ"מ 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28585" o:spid="_x0000_s1043" type="#_x0000_t202" style="position:absolute;left:0;text-align:left;margin-left:131.1pt;margin-top:332.75pt;width:163.35pt;height:33.25pt;z-index:18;mso-position-horizontal-relative:page;mso-position-vertical-relative:page" stroked="f">
            <v:textbox style="mso-next-textbox:#_x0000_s28585" inset="0,0,0,0">
              <w:txbxContent>
                <w:p w:rsidR="00FC52EA" w:rsidRDefault="00FC52EA">
                  <w:pPr>
                    <w:pStyle w:val="OCRStyle5"/>
                    <w:ind w:left="515"/>
                    <w:rPr>
                      <w:rtl/>
                    </w:rPr>
                  </w:pPr>
                  <w:r>
                    <w:rPr>
                      <w:rtl/>
                    </w:rPr>
                    <w:t>ד. בן- גוריון</w:t>
                  </w:r>
                </w:p>
                <w:p w:rsidR="00FC52EA" w:rsidRDefault="00FC52EA">
                  <w:pPr>
                    <w:pStyle w:val="OCRStyle5"/>
                    <w:ind w:left="270"/>
                  </w:pPr>
                  <w:r>
                    <w:rPr>
                      <w:rtl/>
                    </w:rPr>
                    <w:t>ראש הממשלה ושר הבטחון</w:t>
                  </w:r>
                </w:p>
              </w:txbxContent>
            </v:textbox>
            <w10:wrap anchorx="page" anchory="page"/>
          </v:shape>
        </w:pict>
      </w:r>
      <w:r>
        <w:pict>
          <v:shape id="_x0000_s28586" o:spid="_x0000_s1044" type="#_x0000_t202" style="position:absolute;left:0;text-align:left;margin-left:96.45pt;margin-top:71pt;width:416.6pt;height:258pt;z-index:17;mso-position-horizontal-relative:page;mso-position-vertical-relative:page" stroked="f">
            <v:textbox style="mso-next-textbox:#_x0000_s28586" inset="0,0,0,0">
              <w:txbxContent>
                <w:p w:rsidR="00FC52EA" w:rsidRDefault="00FC52EA">
                  <w:pPr>
                    <w:pStyle w:val="OCRStyle5"/>
                    <w:ind w:left="590"/>
                    <w:rPr>
                      <w:rtl/>
                    </w:rPr>
                  </w:pPr>
                  <w:r>
                    <w:rPr>
                      <w:rtl/>
                    </w:rPr>
                    <w:t>(ב) מסמך שנראה מתוכו כי הוא העתק מהחלטה של ועדת ערעור, מאושר</w:t>
                  </w:r>
                </w:p>
                <w:p w:rsidR="00FC52EA" w:rsidRDefault="00FC52EA">
                  <w:pPr>
                    <w:pStyle w:val="OCRStyle5"/>
                    <w:ind w:left="234"/>
                    <w:rPr>
                      <w:rtl/>
                    </w:rPr>
                  </w:pPr>
                  <w:r>
                    <w:rPr>
                      <w:rtl/>
                    </w:rPr>
                    <w:t>כהעתק נכון על ידי יושב ראש הועדה' רואים אותו כהחלטה של ועדת ערעור כל</w:t>
                  </w:r>
                </w:p>
                <w:p w:rsidR="00FC52EA" w:rsidRDefault="00FC52EA">
                  <w:pPr>
                    <w:pStyle w:val="OCRStyle5"/>
                    <w:ind w:left="223"/>
                    <w:rPr>
                      <w:rtl/>
                    </w:rPr>
                  </w:pPr>
                  <w:r>
                    <w:rPr>
                      <w:rtl/>
                    </w:rPr>
                    <w:t>עוד לא הוכח היפוכו של דבר.</w:t>
                  </w:r>
                </w:p>
                <w:p w:rsidR="00FC52EA" w:rsidRDefault="00FC52EA">
                  <w:pPr>
                    <w:pStyle w:val="OCRStyle5"/>
                    <w:ind w:left="234"/>
                    <w:rPr>
                      <w:rtl/>
                    </w:rPr>
                  </w:pPr>
                  <w:r>
                    <w:rPr>
                      <w:rtl/>
                    </w:rPr>
                    <w:t>14 . שיכון אלטרנטיבי.</w:t>
                  </w:r>
                </w:p>
                <w:p w:rsidR="00FC52EA" w:rsidRDefault="00FC52EA">
                  <w:pPr>
                    <w:pStyle w:val="OCRStyle5"/>
                    <w:ind w:left="619"/>
                    <w:rPr>
                      <w:rtl/>
                    </w:rPr>
                  </w:pPr>
                  <w:r>
                    <w:rPr>
                      <w:rtl/>
                    </w:rPr>
                    <w:t>תושב קבוע שיצא מאזור בטחון, או שהוצא מאזור בטחון, עקב צו יציאה,</w:t>
                  </w:r>
                </w:p>
                <w:p w:rsidR="00FC52EA" w:rsidRDefault="00FC52EA">
                  <w:pPr>
                    <w:pStyle w:val="OCRStyle5"/>
                    <w:ind w:left="245"/>
                    <w:rPr>
                      <w:rtl/>
                    </w:rPr>
                  </w:pPr>
                  <w:r>
                    <w:rPr>
                      <w:rtl/>
                    </w:rPr>
                    <w:t>תספק לו הממשלה מקום שיכון מחוץ לאזור הבטחון, כל עוד קיימת מניעה, בתוקף</w:t>
                  </w:r>
                </w:p>
                <w:p w:rsidR="00FC52EA" w:rsidRDefault="00FC52EA">
                  <w:pPr>
                    <w:pStyle w:val="OCRStyle5"/>
                    <w:ind w:left="234"/>
                    <w:rPr>
                      <w:rtl/>
                    </w:rPr>
                  </w:pPr>
                  <w:r>
                    <w:rPr>
                      <w:rtl/>
                    </w:rPr>
                    <w:t>תקנות אלה, לחזרתו לאזור הבטחון.</w:t>
                  </w:r>
                </w:p>
                <w:p w:rsidR="00FC52EA" w:rsidRDefault="00FC52EA">
                  <w:pPr>
                    <w:pStyle w:val="OCRStyle5"/>
                    <w:ind w:left="245"/>
                    <w:rPr>
                      <w:rtl/>
                    </w:rPr>
                  </w:pPr>
                  <w:r>
                    <w:rPr>
                      <w:rtl/>
                    </w:rPr>
                    <w:t>15 . שם.</w:t>
                  </w:r>
                </w:p>
                <w:p w:rsidR="00FC52EA" w:rsidRDefault="00FC52EA">
                  <w:pPr>
                    <w:pStyle w:val="OCRStyle5"/>
                    <w:ind w:left="619"/>
                    <w:rPr>
                      <w:rtl/>
                    </w:rPr>
                  </w:pPr>
                  <w:r>
                    <w:rPr>
                      <w:rtl/>
                    </w:rPr>
                    <w:t>לתקנות אלה ייקרא "תקנות-שעת-חירום (אזורי בטחון), תש"ט - 1949".</w:t>
                  </w:r>
                </w:p>
                <w:p w:rsidR="00FC52EA" w:rsidRPr="00FC52EA" w:rsidRDefault="00FC52EA">
                  <w:pPr>
                    <w:pStyle w:val="OCRStyle5"/>
                    <w:ind w:left="274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נתקבל בכנסת כיוס א' באב תש"ט (27 ביולי 1949).</w:t>
                  </w: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351254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351254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1068FDC5-518B-4326-A99A-26A06EB262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351254"/>
    <w:rPr>
      <w:rFonts w:ascii="Arial" w:hAnsi="Arial" w:cs="Arial"/>
      <w:sz w:val="20"/>
      <w:szCs w:val="20"/>
    </w:rPr>
  </w:style>
  <w:style w:type="paragraph" w:customStyle="1" w:styleId="OCRStyle2">
    <w:name w:val="OCR Style #2"/>
    <w:basedOn w:val="a"/>
    <w:rsid w:val="008416E1"/>
    <w:rPr>
      <w:rFonts w:ascii="Arial" w:hAnsi="Arial" w:cs="Arial"/>
      <w:sz w:val="20"/>
      <w:szCs w:val="20"/>
    </w:rPr>
  </w:style>
  <w:style w:type="paragraph" w:customStyle="1" w:styleId="OCRStyle3">
    <w:name w:val="OCR Style #3"/>
    <w:basedOn w:val="a"/>
    <w:rsid w:val="000F1861"/>
    <w:rPr>
      <w:rFonts w:ascii="Arial" w:hAnsi="Arial" w:cs="Arial"/>
      <w:sz w:val="20"/>
      <w:szCs w:val="20"/>
    </w:rPr>
  </w:style>
  <w:style w:type="paragraph" w:customStyle="1" w:styleId="OCRStyle4">
    <w:name w:val="OCR Style #4"/>
    <w:basedOn w:val="a"/>
    <w:rsid w:val="002619A4"/>
    <w:rPr>
      <w:rFonts w:ascii="Arial" w:hAnsi="Arial" w:cs="Arial"/>
      <w:sz w:val="20"/>
      <w:szCs w:val="20"/>
    </w:rPr>
  </w:style>
  <w:style w:type="paragraph" w:customStyle="1" w:styleId="OCRStyle5">
    <w:name w:val="OCR Style #5"/>
    <w:basedOn w:val="a"/>
    <w:rsid w:val="00FC52EA"/>
    <w:rPr>
      <w:rFonts w:ascii="Arial" w:hAnsi="Arial" w:cs="Arial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</Words>
  <Characters>30</Characters>
  <Application>Microsoft Office Word</Application>
  <DocSecurity>4</DocSecurity>
  <Lines>1</Lines>
  <Paragraphs>1</Paragraphs>
  <ScaleCrop>false</ScaleCrop>
  <Company/>
  <LinksUpToDate>false</LinksUpToDate>
  <CharactersWithSpaces>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6</cp:revision>
  <dcterms:created xsi:type="dcterms:W3CDTF">2008-04-06T17:53:00Z</dcterms:created>
  <dcterms:modified xsi:type="dcterms:W3CDTF">2008-04-06T17:53:00Z</dcterms:modified>
</cp:coreProperties>
</file>