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154DD" w:rsidRDefault="00E154DD">
      <w:pPr>
        <w:rPr>
          <w:rtl/>
        </w:rPr>
      </w:pPr>
    </w:p>
    <w:p w:rsidR="00E154DD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8753" o:spid="_x0000_s1025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28753" inset="0,0,0,0">
              <w:txbxContent>
                <w:p w:rsidR="00E154DD" w:rsidRDefault="00E154DD">
                  <w:r>
                    <w:rPr>
                      <w:rtl/>
                    </w:rPr>
                    <w:t>106                                          ספר החוקים 597                    ד' בתמוז התש"ל 08.07.1970</w:t>
                  </w:r>
                </w:p>
              </w:txbxContent>
            </v:textbox>
            <w10:wrap anchorx="page" anchory="page"/>
          </v:shape>
        </w:pict>
      </w:r>
      <w:r>
        <w:pict>
          <v:shape id="_x0000_s28754" o:spid="_x0000_s1026" type="#_x0000_t202" style="position:absolute;left:0;text-align:left;margin-left:88.45pt;margin-top:636.75pt;width:384.1pt;height:97.4pt;z-index:8;mso-wrap-style:none;mso-position-horizontal-relative:page;mso-position-vertical-relative:page" stroked="f">
            <v:textbox style="mso-next-textbox:#_x0000_s28754" inset="0,0,0,0">
              <w:txbxContent>
                <w:p w:rsidR="00E154DD" w:rsidRDefault="00E154DD">
                  <w:pPr>
                    <w:pStyle w:val="OCRStyle1"/>
                    <w:ind w:left="151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כ"ה בסיון תש"ל (29 ביוני 1970); הצעת החוק ודברי הסבר פורסמו בה"ח 883, תש"ל, עמ' 172.</w:t>
                  </w:r>
                </w:p>
                <w:p w:rsidR="00E154DD" w:rsidRDefault="00E154DD">
                  <w:pPr>
                    <w:pStyle w:val="OCRStyle1"/>
                    <w:ind w:left="151"/>
                    <w:rPr>
                      <w:rtl/>
                    </w:rPr>
                  </w:pPr>
                  <w:r>
                    <w:rPr>
                      <w:rtl/>
                    </w:rPr>
                    <w:t>1 ק"ת 2057/ תשכ"ז/ עמ' 2607; ס"ח תשכ"ח/ עמ' 24; תשכ"ט/ עמי 34.</w:t>
                  </w:r>
                </w:p>
                <w:p w:rsidR="00E154DD" w:rsidRDefault="00E154DD">
                  <w:pPr>
                    <w:pStyle w:val="OCRStyle1"/>
                    <w:ind w:left="151"/>
                    <w:rPr>
                      <w:rtl/>
                    </w:rPr>
                  </w:pPr>
                  <w:r>
                    <w:rPr>
                      <w:rtl/>
                    </w:rPr>
                    <w:t>2 ס"ח תשכ"ח/ עמ' .108</w:t>
                  </w:r>
                </w:p>
                <w:p w:rsidR="00E154DD" w:rsidRDefault="00E154DD">
                  <w:pPr>
                    <w:pStyle w:val="OCRStyle1"/>
                    <w:ind w:left="148"/>
                    <w:rPr>
                      <w:rtl/>
                    </w:rPr>
                  </w:pPr>
                  <w:r>
                    <w:rPr>
                      <w:rtl/>
                    </w:rPr>
                    <w:t>3 ס"ח תשכ"ט/ עמי .70</w:t>
                  </w:r>
                </w:p>
                <w:p w:rsidR="00E154DD" w:rsidRPr="00E154DD" w:rsidRDefault="00E154DD">
                  <w:pPr>
                    <w:pStyle w:val="OCRStyle1"/>
                    <w:ind w:left="4198"/>
                  </w:pPr>
                  <w:r>
                    <w:rPr>
                      <w:rtl/>
                    </w:rPr>
                    <w:t>הודפס ע"י המדפים הממשלתי/ ירושלים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28755" o:spid="_x0000_s1027" type="#_x0000_t202" style="position:absolute;left:0;text-align:left;margin-left:110pt;margin-top:538.75pt;width:95.65pt;height:41.2pt;z-index:7;mso-wrap-style:none;mso-position-horizontal-relative:page;mso-position-vertical-relative:page" stroked="f">
            <v:textbox style="mso-next-textbox:#_x0000_s28755" inset="0,0,0,0">
              <w:txbxContent>
                <w:p w:rsidR="00E154DD" w:rsidRDefault="00E154DD">
                  <w:pPr>
                    <w:pStyle w:val="OCRStyle1"/>
                    <w:ind w:left="133"/>
                    <w:rPr>
                      <w:rtl/>
                    </w:rPr>
                  </w:pPr>
                  <w:r>
                    <w:rPr>
                      <w:rtl/>
                    </w:rPr>
                    <w:t>יוסף אלמוגי</w:t>
                  </w:r>
                </w:p>
                <w:p w:rsidR="00E154DD" w:rsidRDefault="00E154DD">
                  <w:pPr>
                    <w:pStyle w:val="OCRStyle1"/>
                    <w:ind w:left="378"/>
                  </w:pPr>
                  <w:r>
                    <w:rPr>
                      <w:rtl/>
                    </w:rPr>
                    <w:t>שר העבודה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8756" o:spid="_x0000_s1028" type="#_x0000_t202" style="position:absolute;left:0;text-align:left;margin-left:234.95pt;margin-top:541.35pt;width:92.05pt;height:39.6pt;z-index:6;mso-wrap-style:none;mso-position-horizontal-relative:page;mso-position-vertical-relative:page" stroked="f">
            <v:textbox style="mso-next-textbox:#_x0000_s28756" inset="0,0,0,0">
              <w:txbxContent>
                <w:p w:rsidR="00E154DD" w:rsidRDefault="00E154DD">
                  <w:pPr>
                    <w:pStyle w:val="OCRStyle1"/>
                    <w:ind w:left="184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E154DD" w:rsidRDefault="00E154DD">
                  <w:pPr>
                    <w:pStyle w:val="OCRStyle1"/>
                    <w:ind w:left="299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8757" o:spid="_x0000_s1029" type="#_x0000_t202" style="position:absolute;left:0;text-align:left;margin-left:349.4pt;margin-top:572.2pt;width:132.45pt;height:41.4pt;z-index:5;mso-wrap-style:none;mso-position-horizontal-relative:page;mso-position-vertical-relative:page" stroked="f">
            <v:textbox style="mso-next-textbox:#_x0000_s28757" inset="0,0,0,0">
              <w:txbxContent>
                <w:p w:rsidR="00E154DD" w:rsidRDefault="00E154DD">
                  <w:pPr>
                    <w:pStyle w:val="OCRStyle1"/>
                    <w:ind w:left="212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E154DD" w:rsidRDefault="00E154DD">
                  <w:pPr>
                    <w:pStyle w:val="OCRStyle1"/>
                    <w:ind w:left="67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8758" o:spid="_x0000_s1030" type="#_x0000_t202" style="position:absolute;left:0;text-align:left;margin-left:85.85pt;margin-top:239.95pt;width:471.05pt;height:283.15pt;z-index:4;mso-wrap-style:none;mso-position-horizontal-relative:page;mso-position-vertical-relative:page" stroked="f">
            <v:textbox style="mso-next-textbox:#_x0000_s28758" inset="0,0,0,0">
              <w:txbxContent>
                <w:tbl>
                  <w:tblPr>
                    <w:tblW w:w="502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92"/>
                    <w:gridCol w:w="1226"/>
                    <w:gridCol w:w="1346"/>
                  </w:tblGrid>
                  <w:tr w:rsidR="00E154DD" w:rsidRPr="00E154DD">
                    <w:trPr>
                      <w:jc w:val="right"/>
                    </w:trPr>
                    <w:tc>
                      <w:tcPr>
                        <w:tcW w:w="4214" w:type="pct"/>
                        <w:gridSpan w:val="2"/>
                      </w:tcPr>
                      <w:p w:rsidR="00E154DD" w:rsidRDefault="00E154D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בתקנה 1 לתקנות -</w:t>
                        </w:r>
                      </w:p>
                      <w:p w:rsidR="00E154DD" w:rsidRDefault="00E154D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בהגדרת "התנדבות לעבודה", כמקום "במשק ובשירות ציבורי" יבוא</w:t>
                        </w:r>
                      </w:p>
                      <w:p w:rsidR="00E154DD" w:rsidRDefault="00E154D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"במשק, בשירות ציבורי ובכל שירות לציבור";</w:t>
                        </w:r>
                      </w:p>
                      <w:p w:rsidR="00E154DD" w:rsidRDefault="00E154D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בהגדרת "חוק הביטוח", במקום "חוק הביטוח הלאומי, תשי"ד-1953"</w:t>
                        </w:r>
                      </w:p>
                      <w:p w:rsidR="00E154DD" w:rsidRDefault="00E154D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"חוק הביטוח הלאומי ננוסח משולב], תשכ"ח-1968 2" .</w:t>
                        </w:r>
                      </w:p>
                    </w:tc>
                    <w:tc>
                      <w:tcPr>
                        <w:tcW w:w="786" w:type="pct"/>
                      </w:tcPr>
                      <w:p w:rsidR="00E154DD" w:rsidRPr="00E154DD" w:rsidRDefault="00E154D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תקנה 1</w:t>
                        </w:r>
                      </w:p>
                    </w:tc>
                  </w:tr>
                  <w:tr w:rsidR="00E154DD" w:rsidRPr="00E154DD">
                    <w:trPr>
                      <w:jc w:val="right"/>
                    </w:trPr>
                    <w:tc>
                      <w:tcPr>
                        <w:tcW w:w="4214" w:type="pct"/>
                        <w:gridSpan w:val="2"/>
                      </w:tcPr>
                      <w:p w:rsidR="00E154DD" w:rsidRDefault="00E154D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בתקנה 2 לתקנות -</w:t>
                        </w:r>
                      </w:p>
                      <w:p w:rsidR="00E154DD" w:rsidRDefault="00E154D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כרישה, במקום "לענין חלק ב' לחוק הביטוח" יבוא "לענין פרק ג' לחוק</w:t>
                        </w:r>
                      </w:p>
                      <w:p w:rsidR="00E154DD" w:rsidRDefault="00E154D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הביטוח";</w:t>
                        </w:r>
                      </w:p>
                      <w:p w:rsidR="00E154DD" w:rsidRPr="00E154DD" w:rsidRDefault="00E154D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בפסקה (3) (א), במקום "לפי סעיף 16 (א) (2)" יבוא "לפי סעיף 31 (א) (3)".</w:t>
                        </w:r>
                      </w:p>
                    </w:tc>
                    <w:tc>
                      <w:tcPr>
                        <w:tcW w:w="786" w:type="pct"/>
                      </w:tcPr>
                      <w:p w:rsidR="00E154DD" w:rsidRPr="00E154DD" w:rsidRDefault="00E154D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תקנה 2</w:t>
                        </w:r>
                      </w:p>
                    </w:tc>
                  </w:tr>
                  <w:tr w:rsidR="00E154DD" w:rsidRPr="00E154DD">
                    <w:trPr>
                      <w:jc w:val="right"/>
                    </w:trPr>
                    <w:tc>
                      <w:tcPr>
                        <w:tcW w:w="4214" w:type="pct"/>
                        <w:gridSpan w:val="2"/>
                      </w:tcPr>
                      <w:p w:rsidR="00E154DD" w:rsidRDefault="00E154D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בתקנה 3 לתקנות, במקום "לפי חלק ב' לחוק הביטוח" יבוא "לפי פרק ג'</w:t>
                        </w:r>
                      </w:p>
                      <w:p w:rsidR="00E154DD" w:rsidRPr="00E154DD" w:rsidRDefault="00E154D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לחוק הביטוח".</w:t>
                        </w:r>
                      </w:p>
                    </w:tc>
                    <w:tc>
                      <w:tcPr>
                        <w:tcW w:w="786" w:type="pct"/>
                      </w:tcPr>
                      <w:p w:rsidR="00E154DD" w:rsidRPr="00E154DD" w:rsidRDefault="00E154D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תקנה 3</w:t>
                        </w:r>
                      </w:p>
                    </w:tc>
                  </w:tr>
                  <w:tr w:rsidR="00E154DD" w:rsidRPr="00E154DD">
                    <w:trPr>
                      <w:jc w:val="right"/>
                    </w:trPr>
                    <w:tc>
                      <w:tcPr>
                        <w:tcW w:w="4214" w:type="pct"/>
                        <w:gridSpan w:val="2"/>
                      </w:tcPr>
                      <w:p w:rsidR="00E154DD" w:rsidRPr="00E154DD" w:rsidRDefault="00E154D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במקום תקנה 6 לתקנות יבוא:</w:t>
                        </w:r>
                      </w:p>
                    </w:tc>
                    <w:tc>
                      <w:tcPr>
                        <w:tcW w:w="786" w:type="pct"/>
                      </w:tcPr>
                      <w:p w:rsidR="00E154DD" w:rsidRPr="00E154DD" w:rsidRDefault="00E154D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תקנה 6</w:t>
                        </w:r>
                      </w:p>
                    </w:tc>
                  </w:tr>
                  <w:tr w:rsidR="00E154DD">
                    <w:trPr>
                      <w:jc w:val="right"/>
                    </w:trPr>
                    <w:tc>
                      <w:tcPr>
                        <w:tcW w:w="3498" w:type="pct"/>
                      </w:tcPr>
                      <w:p w:rsidR="00E154DD" w:rsidRDefault="00E154D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בית הדין לעבודה כמשמעותו בחוק בית הדין לעבודה, תשכ"ט-</w:t>
                        </w:r>
                      </w:p>
                      <w:p w:rsidR="00E154DD" w:rsidRDefault="00E154D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1969 3, תהיה לו הסמכות הייחודית לדון בכל תביעה לגימלה לפי תקנות</w:t>
                        </w:r>
                      </w:p>
                      <w:p w:rsidR="00E154DD" w:rsidRDefault="00E154D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אלה ובכל תביעה להחזרת גימלה שניתנה בטעות או שלא כדין, וסעיף</w:t>
                        </w:r>
                      </w:p>
                      <w:p w:rsidR="00E154DD" w:rsidRDefault="00E154D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231 לחוק הביטוח יחול בשינויים המחוייבים; לענין תקנות אלה ייווסף</w:t>
                        </w:r>
                      </w:p>
                      <w:p w:rsidR="00E154DD" w:rsidRPr="00E154DD" w:rsidRDefault="00E154D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ברשימת בעלי דין לפי סעיף 231 לחוק הביטוח "המעסיק"."</w:t>
                        </w:r>
                      </w:p>
                    </w:tc>
                    <w:tc>
                      <w:tcPr>
                        <w:tcW w:w="716" w:type="pct"/>
                      </w:tcPr>
                      <w:p w:rsidR="00E154DD" w:rsidRDefault="00E154D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"סמכות בית</w:t>
                        </w:r>
                      </w:p>
                      <w:p w:rsidR="00E154DD" w:rsidRPr="00E154DD" w:rsidRDefault="00E154D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הדין לעבודה</w:t>
                        </w:r>
                      </w:p>
                    </w:tc>
                    <w:tc>
                      <w:tcPr>
                        <w:tcW w:w="786" w:type="pct"/>
                      </w:tcPr>
                      <w:p w:rsidR="00E154DD" w:rsidRDefault="00E154DD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E154DD" w:rsidRDefault="00E154DD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8759" o:spid="_x0000_s1031" type="#_x0000_t202" style="position:absolute;left:0;text-align:left;margin-left:235.75pt;margin-top:202.95pt;width:90.3pt;height:35.25pt;z-index:3;mso-wrap-style:none;mso-position-horizontal-relative:page;mso-position-vertical-relative:page" stroked="f">
            <v:textbox style="mso-next-textbox:#_x0000_s28759" inset="0,0,0,0">
              <w:txbxContent>
                <w:p w:rsidR="00E154DD" w:rsidRDefault="00E154DD">
                  <w:pPr>
                    <w:pStyle w:val="OCRStyle1"/>
                    <w:ind w:left="364"/>
                    <w:rPr>
                      <w:sz w:val="22"/>
                      <w:szCs w:val="22"/>
                      <w:rtl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התוספת</w:t>
                  </w:r>
                </w:p>
                <w:p w:rsidR="00E154DD" w:rsidRPr="00E154DD" w:rsidRDefault="00E154DD">
                  <w:pPr>
                    <w:pStyle w:val="OCRStyle1"/>
                    <w:ind w:left="389"/>
                  </w:pPr>
                  <w:r>
                    <w:rPr>
                      <w:rtl/>
                    </w:rPr>
                    <w:t>(סעיף 1)</w:t>
                  </w:r>
                </w:p>
              </w:txbxContent>
            </v:textbox>
            <w10:wrap anchorx="page" anchory="page"/>
          </v:shape>
        </w:pict>
      </w:r>
      <w:r>
        <w:pict>
          <v:shape id="_x0000_s28760" o:spid="_x0000_s1032" type="#_x0000_t202" style="position:absolute;left:0;text-align:left;margin-left:84.3pt;margin-top:119.4pt;width:468.25pt;height:77.6pt;z-index:2;mso-wrap-style:none;mso-position-horizontal-relative:page;mso-position-vertical-relative:page" stroked="f">
            <v:textbox style="mso-next-textbox:#_x0000_s28760" inset="0,0,0,0">
              <w:txbxContent>
                <w:tbl>
                  <w:tblPr>
                    <w:tblW w:w="499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76"/>
                    <w:gridCol w:w="1238"/>
                  </w:tblGrid>
                  <w:tr w:rsidR="00E154DD" w:rsidRPr="00E154DD">
                    <w:trPr>
                      <w:jc w:val="right"/>
                    </w:trPr>
                    <w:tc>
                      <w:tcPr>
                        <w:tcW w:w="4273" w:type="pct"/>
                      </w:tcPr>
                      <w:p w:rsidR="00E154DD" w:rsidRDefault="00E154DD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תקפן של תקנות-שעת-חירום (ביטוח מתנדבים לעבודה בשעת-חירום), תשכ"ז-</w:t>
                        </w:r>
                      </w:p>
                      <w:p w:rsidR="00E154DD" w:rsidRDefault="00E154D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1967  1(להלן - התקנות), מוארך בזה, בתיקונים המפורטים בתוספת, עד יום י"ח בתמוז</w:t>
                        </w:r>
                      </w:p>
                      <w:p w:rsidR="00E154DD" w:rsidRPr="00E154DD" w:rsidRDefault="00E154D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תשל"ב (30 ביוני 1972).</w:t>
                        </w:r>
                      </w:p>
                    </w:tc>
                    <w:tc>
                      <w:tcPr>
                        <w:tcW w:w="727" w:type="pct"/>
                      </w:tcPr>
                      <w:p w:rsidR="00E154DD" w:rsidRPr="00E154DD" w:rsidRDefault="00E154D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הארכת תוקף</w:t>
                        </w:r>
                      </w:p>
                    </w:tc>
                  </w:tr>
                  <w:tr w:rsidR="00E154DD" w:rsidRPr="00E154DD">
                    <w:trPr>
                      <w:jc w:val="right"/>
                    </w:trPr>
                    <w:tc>
                      <w:tcPr>
                        <w:tcW w:w="4273" w:type="pct"/>
                      </w:tcPr>
                      <w:p w:rsidR="00E154DD" w:rsidRPr="00E154DD" w:rsidRDefault="00E154D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תחילתו של חוק זה ביום כ"ו בסיון תש"ל (30 ביוני 1970).</w:t>
                        </w:r>
                      </w:p>
                    </w:tc>
                    <w:tc>
                      <w:tcPr>
                        <w:tcW w:w="727" w:type="pct"/>
                      </w:tcPr>
                      <w:p w:rsidR="00E154DD" w:rsidRPr="00E154DD" w:rsidRDefault="00E154D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E154DD" w:rsidRDefault="00E154DD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8761" o:spid="_x0000_s1033" type="#_x0000_t202" style="position:absolute;left:0;text-align:left;margin-left:126.45pt;margin-top:73.85pt;width:325.3pt;height:37.05pt;z-index:1;mso-wrap-style:none;mso-position-horizontal-relative:page;mso-position-vertical-relative:page" stroked="f">
            <v:textbox style="mso-next-textbox:#_x0000_s28761" inset="0,0,0,0">
              <w:txbxContent>
                <w:p w:rsidR="00E154DD" w:rsidRDefault="00E154DD">
                  <w:pPr>
                    <w:pStyle w:val="OCRStyle1"/>
                    <w:ind w:left="911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להארכת תוקף של תקנות-שעת-חירום</w:t>
                  </w:r>
                </w:p>
                <w:p w:rsidR="00E154DD" w:rsidRPr="00E154DD" w:rsidRDefault="00E154DD">
                  <w:pPr>
                    <w:pStyle w:val="OCRStyle1"/>
                    <w:ind w:left="418"/>
                    <w:rPr>
                      <w:sz w:val="24"/>
                      <w:szCs w:val="24"/>
                    </w:rPr>
                  </w:pPr>
                  <w:r>
                    <w:rPr>
                      <w:rtl/>
                    </w:rPr>
                    <w:t>(ביטוח מתנדבים לעבודה בשעת חירום), תש"ל-1970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E154DD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154D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02D3C0E3-26C8-4410-AD63-CDC7BBAE37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E154DD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10</Characters>
  <Application>Microsoft Office Word</Application>
  <DocSecurity>4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2008-04-09T14:46:00Z</dcterms:created>
  <dcterms:modified xsi:type="dcterms:W3CDTF">2008-04-09T14:46:00Z</dcterms:modified>
</cp:coreProperties>
</file>