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3B32" w:rsidRDefault="009C3B32">
      <w:pPr>
        <w:rPr>
          <w:rtl/>
        </w:rPr>
      </w:pPr>
    </w:p>
    <w:p w:rsidR="009C3B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2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8927" inset="0,0,0,0">
              <w:txbxContent>
                <w:p w:rsidR="009C3B32" w:rsidRDefault="009C3B32">
                  <w:r>
                    <w:rPr>
                      <w:rtl/>
                    </w:rPr>
                    <w:t>17                                           ספר החוקים 88                  כ"ז בכסליו התשי"ב 26.12.1951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28" o:spid="_x0000_s1026" type="#_x0000_t202" style="position:absolute;left:0;text-align:left;margin-left:163.25pt;margin-top:197.9pt;width:101.95pt;height:42.55pt;z-index:5;mso-position-horizontal-relative:page;mso-position-vertical-relative:page" stroked="f">
            <v:textbox style="mso-next-textbox:#_x0000_s28928" inset="0,0,0,0">
              <w:txbxContent>
                <w:p w:rsidR="009C3B32" w:rsidRDefault="009C3B32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C3B32" w:rsidRDefault="009C3B32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29" o:spid="_x0000_s1027" type="#_x0000_t202" style="position:absolute;left:0;text-align:left;margin-left:405.6pt;margin-top:230.8pt;width:136.6pt;height:51.5pt;z-index:4;mso-position-horizontal-relative:page;mso-position-vertical-relative:page" stroked="f">
            <v:textbox style="mso-next-textbox:#_x0000_s28929" inset="0,0,0,0">
              <w:txbxContent>
                <w:p w:rsidR="009C3B32" w:rsidRDefault="009C3B32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9C3B32" w:rsidRDefault="009C3B32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9C3B32" w:rsidRDefault="009C3B3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30" o:spid="_x0000_s1028" type="#_x0000_t202" style="position:absolute;left:0;text-align:left;margin-left:83.25pt;margin-top:105.65pt;width:473.2pt;height:78pt;z-index:3;mso-position-horizontal-relative:page;mso-position-vertical-relative:page" stroked="f">
            <v:textbox style="mso-next-textbox:#_x0000_s289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7344"/>
                  </w:tblGrid>
                  <w:tr w:rsidR="009C3B32" w:rsidRPr="009C3B3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9C3B32" w:rsidRDefault="009C3B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  <w:p w:rsidR="009C3B32" w:rsidRPr="009C3B32" w:rsidRDefault="009C3B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ההגנה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9C3B32" w:rsidRDefault="009C3B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;.כל תקנות ההגנה, אשר ערב תחילת תקפו של חוק זה הן בתקפן מכוח חוק לקיום</w:t>
                        </w:r>
                      </w:p>
                      <w:p w:rsidR="009C3B32" w:rsidRDefault="009C3B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ההגנה (הוראת שעה) (מס' 3), תשי"א-1951 1, - יעמדו בתקפן עד יום ז' בתמוז</w:t>
                        </w:r>
                      </w:p>
                      <w:p w:rsidR="009C3B32" w:rsidRPr="009C3B32" w:rsidRDefault="009C3B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 (30 ביוני 1952).</w:t>
                        </w:r>
                      </w:p>
                    </w:tc>
                  </w:tr>
                  <w:tr w:rsidR="009C3B32" w:rsidRPr="009C3B3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9C3B32" w:rsidRPr="009C3B32" w:rsidRDefault="009C3B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9C3B32" w:rsidRPr="009C3B32" w:rsidRDefault="009C3B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ב' בטבת תשי"ב (31 בדצמבר 1951).</w:t>
                        </w:r>
                      </w:p>
                    </w:tc>
                  </w:tr>
                </w:tbl>
                <w:p w:rsidR="009C3B32" w:rsidRDefault="009C3B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31" o:spid="_x0000_s1029" type="#_x0000_t202" style="position:absolute;left:0;text-align:left;margin-left:91.2pt;margin-top:71.8pt;width:55.05pt;height:25.75pt;z-index:2;mso-position-horizontal-relative:page;mso-position-vertical-relative:page" stroked="f">
            <v:textbox style="mso-next-textbox:#_x0000_s28931" inset="0,0,0,0">
              <w:txbxContent>
                <w:p w:rsidR="009C3B32" w:rsidRDefault="009C3B32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מספר 11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32" o:spid="_x0000_s1030" type="#_x0000_t202" style="position:absolute;left:0;text-align:left;margin-left:165.85pt;margin-top:70pt;width:378.2pt;height:31.1pt;z-index:1;mso-position-horizontal-relative:page;mso-position-vertical-relative:page" stroked="f">
            <v:textbox style="mso-next-textbox:#_x0000_s28932" inset="0,0,0,0">
              <w:txbxContent>
                <w:p w:rsidR="009C3B32" w:rsidRPr="009C3B32" w:rsidRDefault="009C3B32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שעה), תשי"ב--1951*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3B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FE8603-CB57-4059-9832-58BE2E95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3B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