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72DA" w:rsidRDefault="005B72DA">
      <w:pPr>
        <w:rPr>
          <w:rtl/>
        </w:rPr>
      </w:pPr>
    </w:p>
    <w:p w:rsidR="005B72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2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227" inset="0,0,0,0">
              <w:txbxContent>
                <w:p w:rsidR="005B72DA" w:rsidRDefault="005B72DA">
                  <w:r>
                    <w:rPr>
                      <w:rtl/>
                    </w:rPr>
                    <w:t>218                                          ספר החוקים 461                  כ"ב בתמוז התשכ"ה 22.07.1965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8" o:spid="_x0000_s1026" type="#_x0000_t202" style="position:absolute;left:0;text-align:left;margin-left:80pt;margin-top:641.55pt;width:384.3pt;height:103.15pt;z-index:7;mso-position-horizontal-relative:page;mso-position-vertical-relative:page" stroked="f">
            <v:textbox style="mso-next-textbox:#_x0000_s29228" inset="0,0,0,0">
              <w:txbxContent>
                <w:p w:rsidR="005B72DA" w:rsidRDefault="005B72D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בתמוז תשכ"ה (12 ביולי 1965); הצעת החוק ודברי הסבר פורמסו בה"ח 619, תשכ"ד,</w:t>
                  </w:r>
                </w:p>
                <w:p w:rsidR="005B72DA" w:rsidRDefault="005B72DA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240.</w:t>
                  </w:r>
                </w:p>
                <w:p w:rsidR="005B72DA" w:rsidRPr="005B72DA" w:rsidRDefault="005B72DA">
                  <w:pPr>
                    <w:pStyle w:val="OCRStyle1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עיר 1941, תוס' 2/ מס' 1138/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9" o:spid="_x0000_s1027" type="#_x0000_t202" style="position:absolute;left:0;text-align:left;margin-left:110.3pt;margin-top:564.35pt;width:94.85pt;height:35.25pt;z-index:6;mso-position-horizontal-relative:page;mso-position-vertical-relative:page" stroked="f">
            <v:textbox style="mso-next-textbox:#_x0000_s29229" inset="0,0,0,0">
              <w:txbxContent>
                <w:p w:rsidR="005B72DA" w:rsidRDefault="005B72D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B72DA" w:rsidRDefault="005B72DA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0" o:spid="_x0000_s1028" type="#_x0000_t202" style="position:absolute;left:0;text-align:left;margin-left:230.3pt;margin-top:563.55pt;width:88.1pt;height:36.85pt;z-index:5;mso-position-horizontal-relative:page;mso-position-vertical-relative:page" stroked="f">
            <v:textbox style="mso-next-textbox:#_x0000_s29230" inset="0,0,0,0">
              <w:txbxContent>
                <w:p w:rsidR="005B72DA" w:rsidRDefault="005B72D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72DA" w:rsidRDefault="005B72DA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1" o:spid="_x0000_s1029" type="#_x0000_t202" style="position:absolute;left:0;text-align:left;margin-left:341.75pt;margin-top:591.25pt;width:137.6pt;height:38.6pt;z-index:4;mso-position-horizontal-relative:page;mso-position-vertical-relative:page" stroked="f">
            <v:textbox style="mso-next-textbox:#_x0000_s29231" inset="0,0,0,0">
              <w:txbxContent>
                <w:p w:rsidR="005B72DA" w:rsidRDefault="005B72D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B72DA" w:rsidRDefault="005B72DA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2" o:spid="_x0000_s1030" type="#_x0000_t202" style="position:absolute;left:0;text-align:left;margin-left:81.8pt;margin-top:174.25pt;width:434.6pt;height:370.85pt;z-index:3;mso-position-horizontal-relative:page;mso-position-vertical-relative:page" stroked="f">
            <v:textbox style="mso-next-textbox:#_x0000_s29232" inset="0,0,0,0">
              <w:txbxContent>
                <w:p w:rsidR="005B72DA" w:rsidRDefault="005B72DA">
                  <w:pPr>
                    <w:pStyle w:val="OCRStyle1"/>
                    <w:ind w:left="390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5B72DA" w:rsidRDefault="005B72DA">
                  <w:pPr>
                    <w:pStyle w:val="OCRStyle1"/>
                    <w:ind w:left="3892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5B72DA" w:rsidRDefault="005B72DA">
                  <w:pPr>
                    <w:pStyle w:val="OCRStyle1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1. בתקנה 2 לתקנות העיקריות, במקום הגדרת "מטילי זהב" תבוא הגדרה זו:</w:t>
                  </w:r>
                </w:p>
                <w:p w:rsidR="005B72DA" w:rsidRDefault="005B72DA">
                  <w:pPr>
                    <w:pStyle w:val="OCRStyle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""מטילי זהב"-לרבות זהב גלמי' בין נוזל ובין מוצק' למעט כלי זהב (פרט למטבע זהב)</w:t>
                  </w:r>
                </w:p>
                <w:p w:rsidR="005B72DA" w:rsidRDefault="005B72DA">
                  <w:pPr>
                    <w:pStyle w:val="OCRStyle1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שהותך למטילים כדי לייצר כלי זהב אחר הימנו".</w:t>
                  </w:r>
                </w:p>
                <w:p w:rsidR="005B72DA" w:rsidRDefault="005B72DA">
                  <w:pPr>
                    <w:pStyle w:val="OCRStyle1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2. תקנת משנה (4) לתקנה 3 לתקנות העיקריות - בטלה.</w:t>
                  </w:r>
                </w:p>
                <w:p w:rsidR="005B72DA" w:rsidRDefault="005B72DA">
                  <w:pPr>
                    <w:pStyle w:val="OCRStyle1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3. בתקנה 4 לתקנות העיקריות -</w:t>
                  </w:r>
                </w:p>
                <w:p w:rsidR="005B72DA" w:rsidRDefault="005B72DA">
                  <w:pPr>
                    <w:pStyle w:val="OCRStyle1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(1) בסוף תקנת משנה (5א) יבוא:</w:t>
                  </w:r>
                </w:p>
                <w:p w:rsidR="005B72DA" w:rsidRDefault="005B72DA">
                  <w:pPr>
                    <w:pStyle w:val="OCRStyle1"/>
                    <w:ind w:left="2185"/>
                    <w:rPr>
                      <w:rtl/>
                    </w:rPr>
                  </w:pPr>
                  <w:r>
                    <w:rPr>
                      <w:rtl/>
                    </w:rPr>
                    <w:t>"ואם הורה כאמור' ימסור הודעה על כך למוציא או לשולח.";</w:t>
                  </w:r>
                </w:p>
                <w:p w:rsidR="005B72DA" w:rsidRDefault="005B72DA">
                  <w:pPr>
                    <w:pStyle w:val="OCRStyle1"/>
                    <w:ind w:left="1746"/>
                    <w:rPr>
                      <w:rtl/>
                    </w:rPr>
                  </w:pPr>
                  <w:r>
                    <w:rPr>
                      <w:rtl/>
                    </w:rPr>
                    <w:t>(2) אחרי תקנת משנה (5א) יבוא:</w:t>
                  </w:r>
                </w:p>
                <w:p w:rsidR="005B72DA" w:rsidRDefault="005B72DA">
                  <w:pPr>
                    <w:pStyle w:val="OCRStyle1"/>
                    <w:ind w:left="2178"/>
                    <w:rPr>
                      <w:rtl/>
                    </w:rPr>
                  </w:pPr>
                  <w:r>
                    <w:rPr>
                      <w:rtl/>
                    </w:rPr>
                    <w:t>"(5ב) כל הרואה עצמו נפגע על ידי הוראה לפי תקנת משנה (5א) לגבי</w:t>
                  </w:r>
                </w:p>
                <w:p w:rsidR="005B72DA" w:rsidRDefault="005B72DA">
                  <w:pPr>
                    <w:pStyle w:val="OCRStyle1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מטבע-חוץ או נייר ערך' רשאי לערער עליה לפני בית משפט מחוזי</w:t>
                  </w:r>
                </w:p>
                <w:p w:rsidR="005B72DA" w:rsidRDefault="005B72DA">
                  <w:pPr>
                    <w:pStyle w:val="OCRStyle1"/>
                    <w:ind w:left="2174"/>
                    <w:rPr>
                      <w:rtl/>
                    </w:rPr>
                  </w:pPr>
                  <w:r>
                    <w:rPr>
                      <w:rtl/>
                    </w:rPr>
                    <w:t>שבאזור שיפוטו נתפש אותו מטבע או אותו נייר ערך.</w:t>
                  </w:r>
                </w:p>
                <w:p w:rsidR="005B72DA" w:rsidRDefault="005B72DA">
                  <w:pPr>
                    <w:pStyle w:val="OCRStyle1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(5ג) הערעור יוגש תוך ארבעה עשר יום מהיום בו נמסרה הודעה למוציא</w:t>
                  </w:r>
                </w:p>
                <w:p w:rsidR="005B72DA" w:rsidRDefault="005B72DA">
                  <w:pPr>
                    <w:pStyle w:val="OCRStyle1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או לשולח לפי תקנת משנה (5א)' אלא שמותר להגיש ערעור גם לפני</w:t>
                  </w:r>
                </w:p>
                <w:p w:rsidR="005B72DA" w:rsidRDefault="005B72DA">
                  <w:pPr>
                    <w:pStyle w:val="OCRStyle1"/>
                    <w:ind w:left="2189"/>
                    <w:rPr>
                      <w:rtl/>
                    </w:rPr>
                  </w:pPr>
                  <w:r>
                    <w:rPr>
                      <w:rtl/>
                    </w:rPr>
                    <w:t>מסירת הודעה כזאת,</w:t>
                  </w:r>
                </w:p>
                <w:p w:rsidR="005B72DA" w:rsidRDefault="005B72DA">
                  <w:pPr>
                    <w:pStyle w:val="OCRStyle1"/>
                    <w:ind w:left="2203"/>
                    <w:rPr>
                      <w:rtl/>
                    </w:rPr>
                  </w:pPr>
                  <w:r>
                    <w:rPr>
                      <w:rtl/>
                    </w:rPr>
                    <w:t>(5ד) הערעור יוגש ויתברר בצורת בקשה בדרך המרצה; מי שהורה</w:t>
                  </w:r>
                </w:p>
                <w:p w:rsidR="005B72DA" w:rsidRDefault="005B72DA">
                  <w:pPr>
                    <w:pStyle w:val="OCRStyle1"/>
                    <w:ind w:left="2192"/>
                    <w:rPr>
                      <w:rtl/>
                    </w:rPr>
                  </w:pPr>
                  <w:r>
                    <w:rPr>
                      <w:rtl/>
                    </w:rPr>
                    <w:t>הוראה לפי תקנת משנה (5א) יהיה משיב לערעור."</w:t>
                  </w:r>
                </w:p>
                <w:p w:rsidR="005B72DA" w:rsidRDefault="005B72DA">
                  <w:pPr>
                    <w:pStyle w:val="OCRStyle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4. בתקנה 5 לתקנות העיקריות יימחקו המלים "פרט לכלי זהב".</w:t>
                  </w:r>
                </w:p>
                <w:p w:rsidR="005B72DA" w:rsidRDefault="005B72DA">
                  <w:pPr>
                    <w:pStyle w:val="OCRStyle1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5. תקנה 8אא לתקנות העיקריות - בטלה.</w:t>
                  </w:r>
                </w:p>
                <w:p w:rsidR="005B72DA" w:rsidRPr="005B72DA" w:rsidRDefault="005B72DA">
                  <w:pPr>
                    <w:pStyle w:val="OCRStyle1"/>
                    <w:ind w:left="878"/>
                  </w:pPr>
                  <w:r>
                    <w:rPr>
                      <w:rtl/>
                    </w:rPr>
                    <w:t>6. תקנת משנה (ז) לתקנה 8ב לתקנות העיקריות - בטלה.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3" o:spid="_x0000_s1031" type="#_x0000_t202" style="position:absolute;left:0;text-align:left;margin-left:90.1pt;margin-top:106.35pt;width:463.1pt;height:62.75pt;z-index:2;mso-position-horizontal-relative:page;mso-position-vertical-relative:page" stroked="f">
            <v:textbox style="mso-next-textbox:#_x0000_s292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8"/>
                    <w:gridCol w:w="1310"/>
                  </w:tblGrid>
                  <w:tr w:rsidR="005B72DA" w:rsidRPr="005B72DA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B72DA" w:rsidRDefault="005B72D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תקנות ההגנה (כספים)' 1941  1(להלן - התקנות העיקריות), יעמדו בתקפן עד יום ו'</w:t>
                        </w:r>
                      </w:p>
                      <w:p w:rsidR="005B72DA" w:rsidRPr="005B72DA" w:rsidRDefault="005B7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תשכ"ח (31 ביולי 1968) בשינויים שפורטו בתוספת לחוק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B72DA" w:rsidRPr="005B72DA" w:rsidRDefault="005B72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5B72DA" w:rsidRPr="005B72DA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5B72DA" w:rsidRPr="005B72DA" w:rsidRDefault="005B72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ג' באב תשכ"ה (1 באוגוסט 0965.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5B72DA" w:rsidRPr="005B72DA" w:rsidRDefault="005B72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B72DA" w:rsidRDefault="005B72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34" o:spid="_x0000_s1032" type="#_x0000_t202" style="position:absolute;left:0;text-align:left;margin-left:121.2pt;margin-top:70.15pt;width:329.65pt;height:31.9pt;z-index:1;mso-position-horizontal-relative:page;mso-position-vertical-relative:page" stroked="f">
            <v:textbox style="mso-next-textbox:#_x0000_s29234" inset="0,0,0,0">
              <w:txbxContent>
                <w:p w:rsidR="005B72DA" w:rsidRPr="005B72DA" w:rsidRDefault="005B72DA">
                  <w:pPr>
                    <w:pStyle w:val="OCRStyle1"/>
                    <w:ind w:left="335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לקיום תוקף תקנות ההגבה (כספים),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B72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E8DB76-C347-4C7D-B5B5-8B498BC3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72D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2008-04-09T14:42:00Z</dcterms:created>
  <dcterms:modified xsi:type="dcterms:W3CDTF">2008-04-09T14:42:00Z</dcterms:modified>
</cp:coreProperties>
</file>