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56F7" w:rsidRDefault="001956F7">
      <w:pPr>
        <w:rPr>
          <w:rtl/>
        </w:rPr>
      </w:pPr>
    </w:p>
    <w:p w:rsidR="001956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249" inset="0,0,0,0">
              <w:txbxContent>
                <w:p w:rsidR="001956F7" w:rsidRDefault="001956F7">
                  <w:r>
                    <w:rPr>
                      <w:rtl/>
                    </w:rPr>
                    <w:t>56                                           ספר החוקים 365                כ"ג באדר ב' התשכ"ב 29.03.1962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0" o:spid="_x0000_s1026" type="#_x0000_t202" style="position:absolute;left:0;text-align:left;margin-left:89.75pt;margin-top:447.3pt;width:377pt;height:40.6pt;z-index:7;mso-position-horizontal-relative:page;mso-position-vertical-relative:page" stroked="f">
            <v:textbox style="mso-next-textbox:#_x0000_s29250" inset="0,0,0,0">
              <w:txbxContent>
                <w:p w:rsidR="001956F7" w:rsidRDefault="001956F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באדר ב' תשכ"ב (22 במרס 1962); הצעת החוק ודברי הסבר נתפרסמו בה"ח 502' תשכ"ב,</w:t>
                  </w:r>
                </w:p>
                <w:p w:rsidR="001956F7" w:rsidRDefault="001956F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עמ' 134.</w:t>
                  </w:r>
                </w:p>
                <w:p w:rsidR="001956F7" w:rsidRPr="001956F7" w:rsidRDefault="001956F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ע"ר 1941, תוס' 2 מס' 1138/ עמי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1" o:spid="_x0000_s1027" type="#_x0000_t202" style="position:absolute;left:0;text-align:left;margin-left:112.55pt;margin-top:354.45pt;width:82.75pt;height:39.2pt;z-index:6;mso-position-horizontal-relative:page;mso-position-vertical-relative:page" stroked="f">
            <v:textbox style="mso-next-textbox:#_x0000_s29251" inset="0,0,0,0">
              <w:txbxContent>
                <w:p w:rsidR="001956F7" w:rsidRDefault="001956F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956F7" w:rsidRDefault="001956F7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2" o:spid="_x0000_s1028" type="#_x0000_t202" style="position:absolute;left:0;text-align:left;margin-left:222.05pt;margin-top:357pt;width:108.5pt;height:41.8pt;z-index:5;mso-position-horizontal-relative:page;mso-position-vertical-relative:page" stroked="f">
            <v:textbox style="mso-next-textbox:#_x0000_s29252" inset="0,0,0,0">
              <w:txbxContent>
                <w:p w:rsidR="001956F7" w:rsidRDefault="001956F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956F7" w:rsidRDefault="001956F7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3" o:spid="_x0000_s1029" type="#_x0000_t202" style="position:absolute;left:0;text-align:left;margin-left:376.25pt;margin-top:382.75pt;width:104.35pt;height:39.6pt;z-index:4;mso-position-horizontal-relative:page;mso-position-vertical-relative:page" stroked="f">
            <v:textbox style="mso-next-textbox:#_x0000_s29253" inset="0,0,0,0">
              <w:txbxContent>
                <w:p w:rsidR="001956F7" w:rsidRDefault="001956F7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956F7" w:rsidRDefault="001956F7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4" o:spid="_x0000_s1030" type="#_x0000_t202" style="position:absolute;left:0;text-align:left;margin-left:84.2pt;margin-top:220.8pt;width:426.9pt;height:127.9pt;z-index:3;mso-position-horizontal-relative:page;mso-position-vertical-relative:page" stroked="f">
            <v:textbox style="mso-next-textbox:#_x0000_s29254" inset="0,0,0,0">
              <w:txbxContent>
                <w:p w:rsidR="001956F7" w:rsidRDefault="001956F7">
                  <w:pPr>
                    <w:pStyle w:val="OCRStyle1"/>
                    <w:ind w:left="393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1956F7" w:rsidRDefault="001956F7">
                  <w:pPr>
                    <w:pStyle w:val="OCRStyle1"/>
                    <w:ind w:left="3881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1956F7" w:rsidRDefault="001956F7">
                  <w:pPr>
                    <w:pStyle w:val="OCRStyle1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כתקנה 2 לתקנות העיקריות' אחרי תקנת משנה (2) יבוא -</w:t>
                  </w:r>
                </w:p>
                <w:p w:rsidR="001956F7" w:rsidRDefault="001956F7">
                  <w:pPr>
                    <w:pStyle w:val="OCRStyle1"/>
                    <w:ind w:left="3038"/>
                    <w:rPr>
                      <w:rtl/>
                    </w:rPr>
                  </w:pPr>
                  <w:r>
                    <w:rPr>
                      <w:rtl/>
                    </w:rPr>
                    <w:t>"(3) הרשאה' היתר או פטור ששר האוצר' או מי שמונה על</w:t>
                  </w:r>
                </w:p>
                <w:p w:rsidR="001956F7" w:rsidRDefault="001956F7">
                  <w:pPr>
                    <w:pStyle w:val="OCRStyle1"/>
                    <w:ind w:left="3035"/>
                    <w:rPr>
                      <w:rtl/>
                    </w:rPr>
                  </w:pPr>
                  <w:r>
                    <w:rPr>
                      <w:rtl/>
                    </w:rPr>
                    <w:t>ידיו' רשאים לתת לפי תקנות אלה' רשאים הם לתיתם גם</w:t>
                  </w:r>
                </w:p>
                <w:p w:rsidR="001956F7" w:rsidRDefault="001956F7">
                  <w:pPr>
                    <w:pStyle w:val="OCRStyle1"/>
                    <w:ind w:left="3038"/>
                    <w:rPr>
                      <w:rtl/>
                    </w:rPr>
                  </w:pPr>
                  <w:r>
                    <w:rPr>
                      <w:rtl/>
                    </w:rPr>
                    <w:t>לאחר מעשה' ומשניתנו כאמור רואים אותם כאילו ניתנו</w:t>
                  </w:r>
                </w:p>
                <w:p w:rsidR="001956F7" w:rsidRPr="001956F7" w:rsidRDefault="001956F7">
                  <w:pPr>
                    <w:pStyle w:val="OCRStyle1"/>
                    <w:ind w:left="3035"/>
                  </w:pPr>
                  <w:r>
                    <w:rPr>
                      <w:rtl/>
                    </w:rPr>
                    <w:t>לפני המעשה."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5" o:spid="_x0000_s1031" type="#_x0000_t202" style="position:absolute;left:0;text-align:left;margin-left:85.4pt;margin-top:101.6pt;width:463.7pt;height:112.65pt;z-index:2;mso-position-horizontal-relative:page;mso-position-vertical-relative:page" stroked="f">
            <v:textbox style="mso-next-textbox:#_x0000_s292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7"/>
                    <w:gridCol w:w="1196"/>
                  </w:tblGrid>
                  <w:tr w:rsidR="001956F7" w:rsidRPr="001956F7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1956F7" w:rsidRDefault="001956F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תקנות ההגנה (כספים)' 1941 1 (להלן - התקנות העיקריות)' בשינוי המפורש בתוספת,</w:t>
                        </w:r>
                      </w:p>
                      <w:p w:rsidR="001956F7" w:rsidRP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בתקפן עד יום ו' בניסן תשכ"ג (31 במרס 1963).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956F7" w:rsidRP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  <w:tr w:rsidR="001956F7" w:rsidRPr="001956F7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הרשאה' היתר או פטור שמותר לתיתם לאחר מעשה על פי תקנה 2 (3) לתקנות העיק-</w:t>
                        </w:r>
                      </w:p>
                      <w:p w:rsidR="001956F7" w:rsidRP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ריות' מותר לתיתם בין אם המעשה נעשה לפני תחילת חוק זה ובין אם נעשה לאחר תחילתו.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956F7" w:rsidRP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 פעולות</w:t>
                        </w:r>
                      </w:p>
                    </w:tc>
                  </w:tr>
                  <w:tr w:rsidR="001956F7" w:rsidRPr="001956F7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1956F7" w:rsidRP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תחילתו של חוק זה ביום כ"ו באדר ב' תשכ"ב (1 באפריל 1902).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956F7" w:rsidRPr="001956F7" w:rsidRDefault="00195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956F7" w:rsidRDefault="001956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56" o:spid="_x0000_s1032" type="#_x0000_t202" style="position:absolute;left:0;text-align:left;margin-left:111.35pt;margin-top:74.45pt;width:352.25pt;height:22.95pt;z-index:1;mso-position-horizontal-relative:page;mso-position-vertical-relative:page" stroked="f">
            <v:textbox style="mso-next-textbox:#_x0000_s29256" inset="0,0,0,0">
              <w:txbxContent>
                <w:p w:rsidR="001956F7" w:rsidRPr="001956F7" w:rsidRDefault="001956F7">
                  <w:pPr>
                    <w:pStyle w:val="OCRStyle1"/>
                    <w:ind w:left="47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לקיום תוקף של תקנות ההגנה (כספים),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956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B0FF03-A57E-47E0-817B-26F6789BA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56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2008-04-06T19:40:00Z</dcterms:created>
  <dcterms:modified xsi:type="dcterms:W3CDTF">2008-04-06T19:40:00Z</dcterms:modified>
</cp:coreProperties>
</file>