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7692" w:rsidRDefault="004B7692">
      <w:pPr>
        <w:rPr>
          <w:rtl/>
        </w:rPr>
      </w:pPr>
    </w:p>
    <w:p w:rsidR="004B76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1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414" inset="0,0,0,0">
              <w:txbxContent>
                <w:p w:rsidR="00497AC1" w:rsidRDefault="00497AC1">
                  <w:r>
                    <w:rPr>
                      <w:rtl/>
                    </w:rPr>
                    <w:t>133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5" o:spid="_x0000_s1026" type="#_x0000_t202" style="position:absolute;left:0;text-align:left;margin-left:345.05pt;margin-top:728.2pt;width:200.55pt;height:27.9pt;z-index:4;mso-position-horizontal-relative:page;mso-position-vertical-relative:page" stroked="f">
            <v:textbox style="mso-next-textbox:#_x0000_s29415" inset="0,0,0,0">
              <w:txbxContent>
                <w:p w:rsidR="00497AC1" w:rsidRDefault="00497A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16" o:spid="_x0000_s1027" type="#_x0000_t202" style="position:absolute;left:0;text-align:left;margin-left:129.25pt;margin-top:654.75pt;width:373.25pt;height:53.25pt;z-index:3;mso-position-horizontal-relative:page;mso-position-vertical-relative:page" stroked="f">
            <v:textbox style="mso-next-textbox:#_x0000_s29416" inset="0,0,0,0">
              <w:txbxContent>
                <w:p w:rsidR="00497AC1" w:rsidRDefault="00497AC1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8 מיום ט' בסיון תש"ט (6.0.40), עט' 52.</w:t>
                  </w:r>
                </w:p>
                <w:p w:rsidR="00497AC1" w:rsidRDefault="00497AC1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1138 מיום 6.11.41 תוס' 2, עמ' 1880.</w:t>
                  </w:r>
                </w:p>
                <w:p w:rsidR="00497AC1" w:rsidRPr="004B7692" w:rsidRDefault="00497AC1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כרד ב', סרק קט"ו, עט' .1155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7" o:spid="_x0000_s1028" type="#_x0000_t202" style="position:absolute;left:0;text-align:left;margin-left:125.5pt;margin-top:178.75pt;width:387.1pt;height:468.25pt;z-index:2;mso-position-horizontal-relative:page;mso-position-vertical-relative:page" stroked="f">
            <v:textbox style="mso-next-textbox:#_x0000_s29417" inset="0,0,0,0">
              <w:txbxContent>
                <w:p w:rsidR="00497AC1" w:rsidRDefault="00497AC1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תקנות ההגנה (כספים), 1941.</w:t>
                  </w:r>
                </w:p>
                <w:p w:rsidR="00497AC1" w:rsidRDefault="00497AC1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תקנות ההגנה (כספים), 1941 1, יתוקנו כך :</w:t>
                  </w:r>
                </w:p>
                <w:p w:rsidR="00497AC1" w:rsidRDefault="00497AC1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(א) בתקנה 2, בפסקה (וו) להגדרה של "מטילי זהב", יימחקו המליט "שאינו</w:t>
                  </w:r>
                </w:p>
                <w:p w:rsidR="00497AC1" w:rsidRDefault="00497AC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בעל ערך אמנותי, היסטורי מדעי או סנטימנטלי";</w:t>
                  </w:r>
                </w:p>
                <w:p w:rsidR="00497AC1" w:rsidRDefault="00497AC1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(ב) במקום המלה "בטחון" בכל מקום שהיא מצויה בתקנות האמורות יבואו</w:t>
                  </w:r>
                </w:p>
                <w:p w:rsidR="00497AC1" w:rsidRDefault="00497AC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המלים "נייר-ערך";</w:t>
                  </w:r>
                </w:p>
                <w:p w:rsidR="00497AC1" w:rsidRDefault="00497AC1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(ג) בתקנה 3 במקום תקנת משנה (1) תבוא תקנת משנה זו:</w:t>
                  </w:r>
                </w:p>
                <w:p w:rsidR="00497AC1" w:rsidRDefault="00497AC1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"(1) אדם שאינו סוחר מוסמך לא יקנה, לא ילווה ולא יקבל לרשותו באופן</w:t>
                  </w:r>
                </w:p>
                <w:p w:rsidR="00497AC1" w:rsidRDefault="00497AC1">
                  <w:pPr>
                    <w:pStyle w:val="OCRStyle1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אחר מטבע זר אלא מידי סוחר מוסמך, ולא ימכור, לא ילווה ולא יעביר</w:t>
                  </w:r>
                </w:p>
                <w:p w:rsidR="00497AC1" w:rsidRDefault="00497AC1">
                  <w:pPr>
                    <w:pStyle w:val="OCRStyle1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מרשותו באופן אחר מטבע זר, אלא לידי סוחר מוסמך, אלא אם קיבל רשיון</w:t>
                  </w:r>
                </w:p>
                <w:p w:rsidR="00497AC1" w:rsidRDefault="00497AC1">
                  <w:pPr>
                    <w:pStyle w:val="OCRStyle1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לכך מאת שר האוצר או מאת מי שנתמנה על ידיו";</w:t>
                  </w:r>
                </w:p>
                <w:p w:rsidR="00497AC1" w:rsidRDefault="00497AC1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(ד) בתקנה 4 -</w:t>
                  </w:r>
                </w:p>
                <w:p w:rsidR="00497AC1" w:rsidRDefault="00497AC1">
                  <w:pPr>
                    <w:pStyle w:val="OCRStyle1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(1) לאחר המלה "זהב", בכל מקום שהיא מצויה בתקנות משנה (1), (2),</w:t>
                  </w:r>
                </w:p>
                <w:p w:rsidR="00497AC1" w:rsidRDefault="00497AC1">
                  <w:pPr>
                    <w:pStyle w:val="OCRStyle1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(3) ו-(5) יווספו המלים "פלטינום, אבנים יקרות, פנינים, פנקסי חסכון,</w:t>
                  </w:r>
                </w:p>
                <w:p w:rsidR="00497AC1" w:rsidRDefault="00497AC1">
                  <w:pPr>
                    <w:pStyle w:val="OCRStyle1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מכתבי אשראי, המחאות, בולי דואר, תלושי בית-מלון, יפויי כוח" ;</w:t>
                  </w:r>
                </w:p>
                <w:p w:rsidR="00497AC1" w:rsidRDefault="00497AC1">
                  <w:pPr>
                    <w:pStyle w:val="OCRStyle1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(2) בסופה של תקנת משנה (5) יווספו המלים -</w:t>
                  </w:r>
                </w:p>
                <w:p w:rsidR="00497AC1" w:rsidRDefault="00497AC1">
                  <w:pPr>
                    <w:pStyle w:val="OCRStyle1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"לצורך תקנת משנה זו - "סחורה" כוללת דבר-דואר, כמשמעותו</w:t>
                  </w:r>
                </w:p>
                <w:p w:rsidR="00497AC1" w:rsidRDefault="00497AC1">
                  <w:pPr>
                    <w:pStyle w:val="OCRStyle1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בפקודת בתי הדואר"2 ;</w:t>
                  </w:r>
                </w:p>
                <w:p w:rsidR="00497AC1" w:rsidRDefault="00497AC1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(ה) בתקנה 6 - במקום תקנת משנה (6) תבוא תקנת משנה זו:</w:t>
                  </w:r>
                </w:p>
                <w:p w:rsidR="00497AC1" w:rsidRDefault="00497AC1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"(6) (א) הכנסה שנעשתה חייבת במס הכנסה בישראל רק משום שנתקבלה</w:t>
                  </w:r>
                </w:p>
                <w:p w:rsidR="00497AC1" w:rsidRDefault="00497AC1">
                  <w:pPr>
                    <w:pStyle w:val="OCRStyle1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בישראל, והיא נתקבלה בישראל רק בגלל הוראות תקנה זו, תהיה פטורה</w:t>
                  </w:r>
                </w:p>
                <w:p w:rsidR="00497AC1" w:rsidRDefault="00497AC1">
                  <w:pPr>
                    <w:pStyle w:val="OCRStyle1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ממס הכנסה בישראל -</w:t>
                  </w:r>
                </w:p>
                <w:p w:rsidR="00497AC1" w:rsidRDefault="00497AC1">
                  <w:pPr>
                    <w:pStyle w:val="OCRStyle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(1) אט אינה עולה על עשרים וחמש לירות; או</w:t>
                  </w:r>
                </w:p>
                <w:p w:rsidR="00497AC1" w:rsidRDefault="00497AC1">
                  <w:pPr>
                    <w:pStyle w:val="OCRStyle1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(2) אם תוך שלושים יום מיום קבלת ההכנסה בישראל, או תוך שלושים</w:t>
                  </w:r>
                </w:p>
                <w:p w:rsidR="00497AC1" w:rsidRDefault="00497AC1">
                  <w:pPr>
                    <w:pStyle w:val="OCRStyle1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יום מיום פרסום חוק זה, - הכל לפי המועד המאוחר יותר -</w:t>
                  </w:r>
                </w:p>
                <w:p w:rsidR="00497AC1" w:rsidRDefault="00497AC1">
                  <w:pPr>
                    <w:pStyle w:val="OCRStyle1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(1) הופקד סכום ההכנסה באחד הבנקים שאושרו למטרה זו על</w:t>
                  </w:r>
                </w:p>
                <w:p w:rsidR="00497AC1" w:rsidRDefault="00497AC1">
                  <w:pPr>
                    <w:pStyle w:val="OCRStyle1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ידי שר האוצר או על ידי מי שנתמנה על ידיו, או</w:t>
                  </w:r>
                </w:p>
                <w:p w:rsidR="00497AC1" w:rsidRDefault="00497AC1">
                  <w:pPr>
                    <w:pStyle w:val="OCRStyle1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הושקע סכום ההכנסה בניירות ערך הרשומים בכל בורסה</w:t>
                  </w:r>
                </w:p>
                <w:p w:rsidR="00497AC1" w:rsidRPr="004B7692" w:rsidRDefault="00497AC1">
                  <w:pPr>
                    <w:pStyle w:val="OCRStyle1"/>
                    <w:ind w:left="1742"/>
                  </w:pPr>
                  <w:r>
                    <w:rPr>
                      <w:rtl/>
                    </w:rPr>
                    <w:t>שהיא, וניירות ערך אלה הופקדו באחד הבנקים האמורים.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8" o:spid="_x0000_s1029" type="#_x0000_t202" style="position:absolute;left:0;text-align:left;margin-left:162.3pt;margin-top:152.05pt;width:317.2pt;height:22.95pt;z-index:1;mso-position-horizontal-relative:page;mso-position-vertical-relative:page" stroked="f">
            <v:textbox style="mso-next-textbox:#_x0000_s29418" inset="0,0,0,0">
              <w:txbxContent>
                <w:p w:rsidR="00497AC1" w:rsidRPr="004B7692" w:rsidRDefault="00497AC1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 ההגנה (כספים), תש"ט-1949*</w:t>
                  </w:r>
                </w:p>
              </w:txbxContent>
            </v:textbox>
            <w10:wrap anchorx="page" anchory="page"/>
          </v:shape>
        </w:pict>
      </w:r>
    </w:p>
    <w:p w:rsidR="003220F0" w:rsidRDefault="003220F0">
      <w:pPr>
        <w:rPr>
          <w:rtl/>
        </w:rPr>
      </w:pPr>
      <w:r>
        <w:rPr>
          <w:rtl/>
        </w:rPr>
        <w:br w:type="page"/>
      </w:r>
    </w:p>
    <w:p w:rsidR="003220F0" w:rsidRDefault="00000000">
      <w:pPr>
        <w:rPr>
          <w:rtl/>
        </w:rPr>
      </w:pPr>
      <w:r>
        <w:pict>
          <v:shape id="_x0000_s2941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19" inset="0,0,0,0">
              <w:txbxContent>
                <w:p w:rsidR="00497AC1" w:rsidRDefault="00497AC1">
                  <w:r>
                    <w:rPr>
                      <w:rtl/>
                    </w:rPr>
                    <w:t>134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0" o:spid="_x0000_s1031" type="#_x0000_t202" style="position:absolute;left:0;text-align:left;margin-left:95.8pt;margin-top:731.95pt;width:186.5pt;height:26.55pt;z-index:7;mso-position-horizontal-relative:page;mso-position-vertical-relative:page" stroked="f">
            <v:textbox style="mso-next-textbox:#_x0000_s29420" inset="0,0,0,0">
              <w:txbxContent>
                <w:p w:rsidR="00497AC1" w:rsidRDefault="00497A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421" o:spid="_x0000_s1032" type="#_x0000_t202" style="position:absolute;left:0;text-align:left;margin-left:92.05pt;margin-top:89.65pt;width:423.9pt;height:628.25pt;z-index:6;mso-position-horizontal-relative:page;mso-position-vertical-relative:page" stroked="f">
            <v:textbox style="mso-next-textbox:#_x0000_s29421" inset="0,0,0,0">
              <w:txbxContent>
                <w:p w:rsidR="00497AC1" w:rsidRDefault="00497AC1">
                  <w:pPr>
                    <w:pStyle w:val="OCRStyle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(ב) הופקדו סכום הכנסה או ניירות-ערך בבנק כאמור, והוצאו מהבנק</w:t>
                  </w:r>
                </w:p>
                <w:p w:rsidR="00497AC1" w:rsidRDefault="00497AC1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בזמן מן הזמנים - רואים את סכום ההכנסה שהוצא או את הסכום</w:t>
                  </w:r>
                </w:p>
                <w:p w:rsidR="00497AC1" w:rsidRDefault="00497AC1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שהושקע באותם ניירות-ערך כהכנסה שנתקבלה בישראל בזמן שבו</w:t>
                  </w:r>
                </w:p>
                <w:p w:rsidR="00497AC1" w:rsidRDefault="00497AC1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הוצאו סכום ההכנסה או ניירות-הערך כאמור, הכל לסי הענין, ואותו</w:t>
                  </w:r>
                </w:p>
                <w:p w:rsidR="00497AC1" w:rsidRDefault="00497AC1">
                  <w:pPr>
                    <w:pStyle w:val="OCRStyle2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הסכום יהיה חייב במס הכנסה בהתאם לכך" ;</w:t>
                  </w:r>
                </w:p>
                <w:p w:rsidR="00497AC1" w:rsidRDefault="00497AC1">
                  <w:pPr>
                    <w:pStyle w:val="OCRStyle2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(0 אחרי תקנה 6א תיווסף תקנה זו :</w:t>
                  </w:r>
                </w:p>
                <w:p w:rsidR="00497AC1" w:rsidRDefault="00497AC1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"6ב. רכישת זכויות תשלום מסויימות על ידי שר האוצר.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(א) רשאי שר האוצר ליתן צו כי כל תושב ישראל שיש לו זכות,</w:t>
                  </w:r>
                </w:p>
                <w:p w:rsidR="00497AC1" w:rsidRDefault="00497AC1">
                  <w:pPr>
                    <w:pStyle w:val="OCRStyle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מוחזקת או ראויה, לקבל תשלום, לרבות תשלום מאת בנק, בכל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מטבע זר שיפורש בצו' ימציא למפקח או לאדם שימונה על ידיו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דין וחשבון שיכלול ביחס לאותה זכות את הפרטים המפורטים בצו.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אופן הגשת הדין וחשבון ומועדה ייקבעו בצו.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(ב) צו לפי תקנת-משנה (א) יכול להיות כללי או מסוייג, כטוב בעיני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שר האוצר.</w:t>
                  </w:r>
                </w:p>
                <w:p w:rsidR="00497AC1" w:rsidRDefault="00497AC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(ג) רשאי שר האוצר להורות בכל עת לאחר מתן צו לפי תקנת</w:t>
                  </w:r>
                </w:p>
                <w:p w:rsidR="00497AC1" w:rsidRDefault="00497AC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משנה (א) שכל זכות לקבלת תשלום שאותו צו חל עליה תועבר</w:t>
                  </w:r>
                </w:p>
                <w:p w:rsidR="00497AC1" w:rsidRDefault="00497AC1">
                  <w:pPr>
                    <w:pStyle w:val="OCRStyle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לאוצר המדינה' או למי ששר האוצר יורה' במחיר ובתנאים שייקבעו</w:t>
                  </w:r>
                </w:p>
                <w:p w:rsidR="00497AC1" w:rsidRDefault="00497AC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בהוראה, ומשניתנה הוראה כזאת יהיה כל בעל זכות לקבלת אותו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תשלום חייב לעשות כל הנחוץ להעברת אותה זכות לאוצר המדינה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או למי ששר האוצר הורה";</w:t>
                  </w:r>
                </w:p>
                <w:p w:rsidR="00497AC1" w:rsidRDefault="00497AC1">
                  <w:pPr>
                    <w:pStyle w:val="OCRStyle2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(ז) בתקנה 8א בכל מקום בו מצויות המלים "שטרי כסף" או "בנקנוטים"</w:t>
                  </w:r>
                </w:p>
                <w:p w:rsidR="00497AC1" w:rsidRDefault="00497AC1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יבואו במקומן המלים "שטרי כסף, שטרי-בנק או ניירות-ערך";</w:t>
                  </w:r>
                </w:p>
                <w:p w:rsidR="00497AC1" w:rsidRDefault="00497AC1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(ח) אחרי תקנה 8אא תיווסף תקנה זו:</w:t>
                  </w:r>
                </w:p>
                <w:p w:rsidR="00497AC1" w:rsidRDefault="00497AC1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"8ב. חובת-הצהרה בכניסה לישראל.</w:t>
                  </w:r>
                </w:p>
                <w:p w:rsidR="00497AC1" w:rsidRDefault="00497AC1">
                  <w:pPr>
                    <w:pStyle w:val="OCRStyle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(א) כל אדם העומד להיכנס לישראל (הנקרא להלן "נוסע") יהא חייב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להצהיר בפני הפקיד המוסמך אם יש ברשותו מטבע זר או ניירות-</w:t>
                  </w:r>
                </w:p>
                <w:p w:rsidR="00497AC1" w:rsidRDefault="00497AC1">
                  <w:pPr>
                    <w:pStyle w:val="OCRStyle2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ערך ואם לאו, ולהציג לפקיד המוסמך כל מטבע זר או נייר-ערך</w:t>
                  </w:r>
                </w:p>
                <w:p w:rsidR="00497AC1" w:rsidRDefault="00497AC1">
                  <w:pPr>
                    <w:pStyle w:val="OCRStyle2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שברשותו. הפקיד המוסמך יהא רשאי לערוך חיפוש אצל כל נוסע</w:t>
                  </w:r>
                </w:p>
                <w:p w:rsidR="00497AC1" w:rsidRDefault="00497AC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ובכל כלי רכב או אמצעי הובלה בו נכנס נוסע לישראל, ולבדוק כל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חפץ שנוסע נושא עמו או על גופו, כדי להיווכח אם יש ברשותו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מטבע זר או ניירות-ערך; אלא שחיפוש אצל אשה ייעשה על ידי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אשה בלבד.</w:t>
                  </w:r>
                </w:p>
                <w:p w:rsidR="00497AC1" w:rsidRDefault="00497AC1">
                  <w:pPr>
                    <w:pStyle w:val="OCRStyle2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(ב) כל מטבע זר או נייר-ערך אשר לא הצהיר עליהם הנוסע בהתאם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לתקנת משנה (א), או שניתנה עליהם הצהרה כוזבת או מטעה בכל</w:t>
                  </w:r>
                </w:p>
                <w:p w:rsidR="00497AC1" w:rsidRDefault="00497AC1">
                  <w:pPr>
                    <w:pStyle w:val="OCRStyle2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פרט בעל חשיבות, ייתפסו על ידי הפקיד המוסמך.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(ג) רשאי שר האוצר או מי שנתמנה על ידיו להורות שכל מטבע</w:t>
                  </w:r>
                </w:p>
                <w:p w:rsidR="00497AC1" w:rsidRDefault="00497AC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 xml:space="preserve">זר או נייר-ערך שנתפסו בהתאם לתקנת-משנה (ב) יוחרמו לטובת </w:t>
                  </w:r>
                </w:p>
                <w:p w:rsidR="00497AC1" w:rsidRPr="003220F0" w:rsidRDefault="00497AC1">
                  <w:pPr>
                    <w:pStyle w:val="OCRStyle2"/>
                    <w:ind w:left="1454"/>
                  </w:pPr>
                  <w:r>
                    <w:rPr>
                      <w:rtl/>
                    </w:rPr>
                    <w:t>אוצר המדינה ; ואם הורה כן, ימסור הודעה על כך לנוסע.</w:t>
                  </w:r>
                </w:p>
              </w:txbxContent>
            </v:textbox>
            <w10:wrap anchorx="page" anchory="page"/>
          </v:shape>
        </w:pict>
      </w:r>
    </w:p>
    <w:p w:rsidR="008320F2" w:rsidRDefault="008320F2">
      <w:pPr>
        <w:rPr>
          <w:rtl/>
        </w:rPr>
      </w:pPr>
      <w:r>
        <w:rPr>
          <w:rtl/>
        </w:rPr>
        <w:br w:type="page"/>
      </w:r>
    </w:p>
    <w:p w:rsidR="008320F2" w:rsidRDefault="00000000">
      <w:pPr>
        <w:rPr>
          <w:rtl/>
        </w:rPr>
      </w:pPr>
      <w:r>
        <w:pict>
          <v:shape id="_x0000_s29422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422" inset="0,0,0,0">
              <w:txbxContent>
                <w:p w:rsidR="00497AC1" w:rsidRDefault="00497AC1">
                  <w:r>
                    <w:rPr>
                      <w:rtl/>
                    </w:rPr>
                    <w:t>135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3" o:spid="_x0000_s1034" type="#_x0000_t202" style="position:absolute;left:0;text-align:left;margin-left:327.85pt;margin-top:732.7pt;width:218.4pt;height:38pt;z-index:11;mso-position-horizontal-relative:page;mso-position-vertical-relative:page" stroked="f">
            <v:textbox style="mso-next-textbox:#_x0000_s29423" inset="0,0,0,0">
              <w:txbxContent>
                <w:p w:rsidR="00497AC1" w:rsidRDefault="00497AC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424" o:spid="_x0000_s1035" type="#_x0000_t202" style="position:absolute;left:0;text-align:left;margin-left:218.75pt;margin-top:673.15pt;width:279.2pt;height:36.85pt;z-index:10;mso-position-horizontal-relative:page;mso-position-vertical-relative:page" stroked="f">
            <v:textbox style="mso-next-textbox:#_x0000_s29424" inset="0,0,0,0">
              <w:txbxContent>
                <w:p w:rsidR="00497AC1" w:rsidRDefault="00497AC1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חוקי א"י, כרד א', פרק ל"ו, עמ' 446.</w:t>
                  </w:r>
                </w:p>
                <w:p w:rsidR="00497AC1" w:rsidRPr="008320F2" w:rsidRDefault="00497AC1">
                  <w:pPr>
                    <w:pStyle w:val="OCRStyle3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14 מיום ו' באב תש"ח (11.8.48), תוס' אי, עמ' 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5" o:spid="_x0000_s1036" type="#_x0000_t202" style="position:absolute;left:0;text-align:left;margin-left:112.05pt;margin-top:85.45pt;width:388.5pt;height:583.9pt;z-index:9;mso-position-horizontal-relative:page;mso-position-vertical-relative:page" stroked="f">
            <v:textbox style="mso-next-textbox:#_x0000_s29425" inset="0,0,0,0">
              <w:txbxContent>
                <w:p w:rsidR="00497AC1" w:rsidRDefault="00497AC1">
                  <w:pPr>
                    <w:pStyle w:val="OCRStyle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(ד) כל הרואה עצמו נפגע על ידי הוראה לפי תקנת משנה (ג)</w:t>
                  </w:r>
                </w:p>
                <w:p w:rsidR="00497AC1" w:rsidRDefault="00497AC1">
                  <w:pPr>
                    <w:pStyle w:val="OCRStyle3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לגבי מטבע זר או נייר ערך רשאי לערער עליה לפני בית המשפט</w:t>
                  </w:r>
                </w:p>
                <w:p w:rsidR="00497AC1" w:rsidRDefault="00497AC1">
                  <w:pPr>
                    <w:pStyle w:val="OCRStyle3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המחוזי שבאזור שיפוטו נתפסו אותו מטבע או אותו נייר ערך.</w:t>
                  </w:r>
                </w:p>
                <w:p w:rsidR="00497AC1" w:rsidRDefault="00497AC1">
                  <w:pPr>
                    <w:pStyle w:val="OCRStyle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(ה) הערעור יוגש תוך ארבעה עשר יום מהיום בו נמסרה הודעה</w:t>
                  </w:r>
                </w:p>
                <w:p w:rsidR="00497AC1" w:rsidRDefault="00497AC1">
                  <w:pPr>
                    <w:pStyle w:val="OCRStyle3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לנוסע לפי תקנת משנה (ג) אלא שמותר להגיש ערעור גם לפני</w:t>
                  </w:r>
                </w:p>
                <w:p w:rsidR="00497AC1" w:rsidRDefault="00497AC1">
                  <w:pPr>
                    <w:pStyle w:val="OCRStyle3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מסירת הודעה כזאת.</w:t>
                  </w:r>
                </w:p>
                <w:p w:rsidR="00497AC1" w:rsidRDefault="00497AC1">
                  <w:pPr>
                    <w:pStyle w:val="OCRStyle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(ו) הערעור יוגש ויתברר בצורת בקשה בדרך המרצה. מי שהורה</w:t>
                  </w:r>
                </w:p>
                <w:p w:rsidR="00497AC1" w:rsidRDefault="00497AC1">
                  <w:pPr>
                    <w:pStyle w:val="OCRStyle3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הוראה לפי תקנת משנה (ג) יהיה משיב לערעור.</w:t>
                  </w:r>
                </w:p>
                <w:p w:rsidR="00497AC1" w:rsidRDefault="00497AC1">
                  <w:pPr>
                    <w:pStyle w:val="OCRStyle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(ז) החלטת בית המשפט המחוזי בערעור לפי תקנה זו - אין</w:t>
                  </w:r>
                </w:p>
                <w:p w:rsidR="00497AC1" w:rsidRDefault="00497AC1">
                  <w:pPr>
                    <w:pStyle w:val="OCRStyle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אחריה ולא כלום.</w:t>
                  </w:r>
                </w:p>
                <w:p w:rsidR="00497AC1" w:rsidRDefault="00497AC1">
                  <w:pPr>
                    <w:pStyle w:val="OCRStyle3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(ח) לצורך תקנה זו -</w:t>
                  </w:r>
                </w:p>
                <w:p w:rsidR="00497AC1" w:rsidRDefault="00497AC1">
                  <w:pPr>
                    <w:pStyle w:val="OCRStyle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"פקיד מוסמך" פירושו פקיד מכס, שוטר או אדם אחר שהורשה על</w:t>
                  </w:r>
                </w:p>
                <w:p w:rsidR="00497AC1" w:rsidRDefault="00497AC1">
                  <w:pPr>
                    <w:pStyle w:val="OCRStyle3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ידי המפקח לפעול לפי תקנה זו;</w:t>
                  </w:r>
                </w:p>
                <w:p w:rsidR="00497AC1" w:rsidRDefault="00497AC1">
                  <w:pPr>
                    <w:pStyle w:val="OCRStyle3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"מטבע זר"  כולל שטר חליפין או שטר חוב הנפרע במטבע זר ;</w:t>
                  </w:r>
                </w:p>
                <w:p w:rsidR="00497AC1" w:rsidRDefault="00497AC1">
                  <w:pPr>
                    <w:pStyle w:val="OCRStyle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"נייר-ערך" כולל תלוש דיווידנדה, המחאה, המחאת דואר, מכתב</w:t>
                  </w:r>
                </w:p>
                <w:p w:rsidR="00497AC1" w:rsidRDefault="00497AC1">
                  <w:pPr>
                    <w:pStyle w:val="OCRStyle3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אשראי ותלוש בית-מלון":</w:t>
                  </w:r>
                </w:p>
                <w:p w:rsidR="00497AC1" w:rsidRDefault="00497AC1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(ט) בתקנה 10 -</w:t>
                  </w:r>
                </w:p>
                <w:p w:rsidR="00497AC1" w:rsidRDefault="00497AC1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(0 במקום הפסקה הראשונה של תקנת משנה (3) יבואו פסקות אלו:</w:t>
                  </w:r>
                </w:p>
                <w:p w:rsidR="00497AC1" w:rsidRDefault="00497AC1">
                  <w:pPr>
                    <w:pStyle w:val="OCRStyle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"העובר על כל תקנה מתקנות אלה או על כל צו או הוראה לפיהן,</w:t>
                  </w:r>
                </w:p>
                <w:p w:rsidR="00497AC1" w:rsidRDefault="00497AC1">
                  <w:pPr>
                    <w:pStyle w:val="OCRStyle3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דינו - מאסר עד שלוש שנים או קנס או שני הענשים כאחד. הקנס</w:t>
                  </w:r>
                </w:p>
                <w:p w:rsidR="00497AC1" w:rsidRDefault="00497AC1">
                  <w:pPr>
                    <w:pStyle w:val="OCRStyle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לא יעלה על 2500 לירות או על סכום שהוא פי שלושה משויים של</w:t>
                  </w:r>
                </w:p>
                <w:p w:rsidR="00497AC1" w:rsidRDefault="00497AC1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כל מטבע, נייר-ערך, זהב, פלטינום, אבנים יקרות, פנינים, פנקס</w:t>
                  </w:r>
                </w:p>
                <w:p w:rsidR="00497AC1" w:rsidRDefault="00497AC1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חסכון, המחאה, המחאת דואר, בול דואר, מכתב אשראי, שטר חליפין,</w:t>
                  </w:r>
                </w:p>
                <w:p w:rsidR="00497AC1" w:rsidRDefault="00497AC1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שטר חוב, תלוש בית-מלון, תלוש רבית, חוב, תשלום או סחורה</w:t>
                  </w:r>
                </w:p>
                <w:p w:rsidR="00497AC1" w:rsidRDefault="00497AC1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שלגביהם נעברה העבירה, - הכל לפי הקנס הגדול יותר.</w:t>
                  </w:r>
                </w:p>
                <w:p w:rsidR="00497AC1" w:rsidRDefault="00497AC1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העובר על כל תקנה מתקנות אלה או על כל צו או הוראה לפיהן,</w:t>
                  </w:r>
                </w:p>
                <w:p w:rsidR="00497AC1" w:rsidRDefault="00497AC1">
                  <w:pPr>
                    <w:pStyle w:val="OCRStyle3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מותר יהא להביאו, על אף האמור בכל חוק אחר:</w:t>
                  </w:r>
                </w:p>
                <w:p w:rsidR="00497AC1" w:rsidRDefault="00497AC1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(א) לפני בית משפט שלום ; אלא שבית משפט שלום לא יהיה</w:t>
                  </w:r>
                </w:p>
                <w:p w:rsidR="00497AC1" w:rsidRDefault="00497AC1">
                  <w:pPr>
                    <w:pStyle w:val="OCRStyle3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רשאי להטיל מאסר העולה על שנה אחת או קנס העולה על 500</w:t>
                  </w:r>
                </w:p>
                <w:p w:rsidR="00497AC1" w:rsidRDefault="00497AC1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לירות או שני הענשים כאחד ; או</w:t>
                  </w:r>
                </w:p>
                <w:p w:rsidR="00497AC1" w:rsidRDefault="00497AC1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(ב) לפני בית משפט מחוזי - לדיון מהיר או לדיון על פי כתב</w:t>
                  </w:r>
                </w:p>
                <w:p w:rsidR="00497AC1" w:rsidRDefault="00497AC1">
                  <w:pPr>
                    <w:pStyle w:val="OCRStyle3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האשמה לפי פקודת הפרוצדורה הפלילית (שפיטה על פי כתב</w:t>
                  </w:r>
                </w:p>
                <w:p w:rsidR="00497AC1" w:rsidRDefault="00497AC1">
                  <w:pPr>
                    <w:pStyle w:val="OCRStyle3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האשמה)1; או</w:t>
                  </w:r>
                </w:p>
                <w:p w:rsidR="00497AC1" w:rsidRDefault="00497AC1">
                  <w:pPr>
                    <w:pStyle w:val="OCRStyle3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(ג) לפני בית דין למניעת הפקעת שערים וספסרות שהוקם לפי</w:t>
                  </w:r>
                </w:p>
                <w:p w:rsidR="00497AC1" w:rsidRDefault="00497AC1">
                  <w:pPr>
                    <w:pStyle w:val="OCRStyle3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פקודת מניעת הפקעת שערים וספסרות (שיפוט), תש"ח-</w:t>
                  </w:r>
                </w:p>
                <w:p w:rsidR="00497AC1" w:rsidRDefault="00497AC1">
                  <w:pPr>
                    <w:pStyle w:val="OCRStyle3"/>
                    <w:ind w:left="1454"/>
                  </w:pPr>
                  <w:r>
                    <w:rPr>
                      <w:rtl/>
                    </w:rPr>
                    <w:t>1948 2. ":</w:t>
                  </w:r>
                </w:p>
              </w:txbxContent>
            </v:textbox>
            <w10:wrap anchorx="page" anchory="page"/>
          </v:shape>
        </w:pict>
      </w:r>
    </w:p>
    <w:p w:rsidR="00497AC1" w:rsidRDefault="00497AC1">
      <w:pPr>
        <w:rPr>
          <w:rtl/>
        </w:rPr>
      </w:pPr>
      <w:r>
        <w:rPr>
          <w:rtl/>
        </w:rPr>
        <w:br w:type="page"/>
      </w:r>
    </w:p>
    <w:p w:rsidR="00497AC1" w:rsidRDefault="00000000">
      <w:pPr>
        <w:rPr>
          <w:rtl/>
        </w:rPr>
      </w:pPr>
      <w:r>
        <w:pict>
          <v:shape id="_x0000_s29426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9426" inset="0,0,0,0">
              <w:txbxContent>
                <w:p w:rsidR="00497AC1" w:rsidRDefault="00497AC1">
                  <w:r>
                    <w:rPr>
                      <w:rtl/>
                    </w:rPr>
                    <w:t>136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7" o:spid="_x0000_s1038" type="#_x0000_t202" style="position:absolute;left:0;text-align:left;margin-left:154.6pt;margin-top:407.8pt;width:154.85pt;height:50.7pt;z-index:16;mso-position-horizontal-relative:page;mso-position-vertical-relative:page" stroked="f">
            <v:textbox style="mso-next-textbox:#_x0000_s29427" inset="0,0,0,0">
              <w:txbxContent>
                <w:p w:rsidR="00497AC1" w:rsidRDefault="00497AC1">
                  <w:pPr>
                    <w:pStyle w:val="OCRStyle4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497AC1" w:rsidRDefault="00497AC1">
                  <w:pPr>
                    <w:pStyle w:val="OCRStyle4"/>
                    <w:ind w:left="166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8" o:spid="_x0000_s1039" type="#_x0000_t202" style="position:absolute;left:0;text-align:left;margin-left:100.15pt;margin-top:364.65pt;width:129.3pt;height:42pt;z-index:15;mso-position-horizontal-relative:page;mso-position-vertical-relative:page" stroked="f">
            <v:textbox style="mso-next-textbox:#_x0000_s29428" inset="0,0,0,0">
              <w:txbxContent>
                <w:p w:rsidR="00497AC1" w:rsidRDefault="00497AC1">
                  <w:pPr>
                    <w:pStyle w:val="OCRStyle4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497AC1" w:rsidRDefault="00497AC1">
                  <w:pPr>
                    <w:pStyle w:val="OCRStyle4"/>
                    <w:ind w:left="8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9" o:spid="_x0000_s1040" type="#_x0000_t202" style="position:absolute;left:0;text-align:left;margin-left:229.45pt;margin-top:365.85pt;width:107.9pt;height:40.8pt;z-index:14;mso-position-horizontal-relative:page;mso-position-vertical-relative:page" stroked="f">
            <v:textbox style="mso-next-textbox:#_x0000_s29429" inset="0,0,0,0">
              <w:txbxContent>
                <w:p w:rsidR="00497AC1" w:rsidRDefault="00497AC1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497AC1" w:rsidRDefault="00497AC1">
                  <w:pPr>
                    <w:pStyle w:val="OCRStyle4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0" o:spid="_x0000_s1041" type="#_x0000_t202" style="position:absolute;left:0;text-align:left;margin-left:105.1pt;margin-top:89.2pt;width:418.95pt;height:274.25pt;z-index:13;mso-position-horizontal-relative:page;mso-position-vertical-relative:page" stroked="f">
            <v:textbox style="mso-next-textbox:#_x0000_s29430" inset="0,0,0,0">
              <w:txbxContent>
                <w:p w:rsidR="00497AC1" w:rsidRDefault="00497AC1">
                  <w:pPr>
                    <w:pStyle w:val="OCRStyle4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(2) בתקנת משנה (4) -</w:t>
                  </w:r>
                </w:p>
                <w:p w:rsidR="00497AC1" w:rsidRDefault="00497AC1">
                  <w:pPr>
                    <w:pStyle w:val="OCRStyle4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(א) במקום הספרה "3" יבוא הביטוי "3, 6 או 6ב" ;</w:t>
                  </w:r>
                </w:p>
                <w:p w:rsidR="00497AC1" w:rsidRDefault="00497AC1">
                  <w:pPr>
                    <w:pStyle w:val="OCRStyle4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(ב) בסופה של תקנת ממשנה - ייווספו המלים:</w:t>
                  </w:r>
                </w:p>
                <w:p w:rsidR="00497AC1" w:rsidRDefault="00497AC1">
                  <w:pPr>
                    <w:pStyle w:val="OCRStyle4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"לצורך תקנת משנה זו - "מטבע זר" כולל כל שטר חליפין או</w:t>
                  </w:r>
                </w:p>
                <w:p w:rsidR="00497AC1" w:rsidRDefault="00497AC1">
                  <w:pPr>
                    <w:pStyle w:val="OCRStyle4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שטר חוב הנפרע במטבע זר" :</w:t>
                  </w:r>
                </w:p>
                <w:p w:rsidR="00497AC1" w:rsidRDefault="00497AC1">
                  <w:pPr>
                    <w:pStyle w:val="OCRStyle4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(י) בתקנה 10 ב -</w:t>
                  </w:r>
                </w:p>
                <w:p w:rsidR="00497AC1" w:rsidRDefault="00497AC1">
                  <w:pPr>
                    <w:pStyle w:val="OCRStyle4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(1) יבוא הסימן "(1)" אחרי הסימן "10 ב" בראש התקנה ו</w:t>
                  </w:r>
                </w:p>
                <w:p w:rsidR="00497AC1" w:rsidRDefault="00497AC1">
                  <w:pPr>
                    <w:pStyle w:val="OCRStyle4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(2) תיווסף תקנת משנה זו:</w:t>
                  </w:r>
                </w:p>
                <w:p w:rsidR="00497AC1" w:rsidRDefault="00497AC1">
                  <w:pPr>
                    <w:pStyle w:val="OCRStyle4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"(2) אדם, שאינו סוחר מוסמך, שברשותו נמצא מטבע זר או שטר</w:t>
                  </w:r>
                </w:p>
                <w:p w:rsidR="00497AC1" w:rsidRDefault="00497AC1">
                  <w:pPr>
                    <w:pStyle w:val="OCRStyle4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חליפין או שטר חוב הנפרע במטבע זר, והנתבע לדין על עבירה לפי</w:t>
                  </w:r>
                </w:p>
                <w:p w:rsidR="00497AC1" w:rsidRDefault="00497AC1">
                  <w:pPr>
                    <w:pStyle w:val="OCRStyle4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תקנה 3 או 6 לגבי אותו מטבע או אותו שטר חליפין או שטר חוב,</w:t>
                  </w:r>
                </w:p>
                <w:p w:rsidR="00497AC1" w:rsidRDefault="00497AC1">
                  <w:pPr>
                    <w:pStyle w:val="OCRStyle4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יהיו רואים אותו אשם באותה עבירה אלא אם יוכיח כדי הנחת דעתו</w:t>
                  </w:r>
                </w:p>
                <w:p w:rsidR="00497AC1" w:rsidRDefault="00497AC1">
                  <w:pPr>
                    <w:pStyle w:val="OCRStyle4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של בית המשפט כי לא עבר אותה עבירה."</w:t>
                  </w:r>
                </w:p>
                <w:p w:rsidR="00497AC1" w:rsidRPr="00497AC1" w:rsidRDefault="00497AC1">
                  <w:pPr>
                    <w:pStyle w:val="OCRStyle4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א' באב תש"ט (27 ביולי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76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D4A53E-E1EF-4E60-B410-5EBB4E41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769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220F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320F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97AC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2008-04-06T17:53:00Z</dcterms:created>
  <dcterms:modified xsi:type="dcterms:W3CDTF">2008-04-06T17:53:00Z</dcterms:modified>
</cp:coreProperties>
</file>